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3588533" w14:textId="77777777" w:rsidR="002F04CE" w:rsidRPr="002F04CE" w:rsidRDefault="002F04CE" w:rsidP="002F04CE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2F04CE">
        <w:rPr>
          <w:rFonts w:ascii="Times New Roman" w:hAnsi="Times New Roman" w:cs="Times New Roman"/>
          <w:b/>
          <w:bCs/>
          <w:color w:val="EE0000"/>
          <w:sz w:val="28"/>
          <w:szCs w:val="28"/>
        </w:rPr>
        <w:t>Postępowanie powypadkowe bez błędów – kwalifikacja wypadków, dokumentacja i praktyczne warsztaty dla zespołów powypadkowych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5897AC76" w:rsidR="006C629D" w:rsidRPr="006E3C44" w:rsidRDefault="00D04309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0E2FC79B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57B37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42ACED41" w:rsidR="006C629D" w:rsidRPr="006E3C44" w:rsidRDefault="0077260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Marcin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Kucięba</w:t>
            </w:r>
            <w:proofErr w:type="spellEnd"/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156B674C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D04309">
              <w:rPr>
                <w:rFonts w:ascii="Times New Roman" w:hAnsi="Times New Roman" w:cs="Times New Roman"/>
                <w:b/>
              </w:rPr>
              <w:t>9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D04309">
              <w:rPr>
                <w:rFonts w:ascii="Times New Roman" w:hAnsi="Times New Roman" w:cs="Times New Roman"/>
                <w:b/>
              </w:rPr>
              <w:t>11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323E2161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57B37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5318B721" w:rsidR="006C629D" w:rsidRPr="006E3C44" w:rsidRDefault="0077260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Marcin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Kucięba</w:t>
            </w:r>
            <w:proofErr w:type="spellEnd"/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20624F8E" w:rsidR="006C629D" w:rsidRPr="006E3C44" w:rsidRDefault="003B0E19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1029D2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57B37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625819EE" w:rsidR="006C629D" w:rsidRPr="006E3C44" w:rsidRDefault="0077260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Marcin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Kucięba</w:t>
            </w:r>
            <w:proofErr w:type="spellEnd"/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43DEAAFC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6560BB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bookmarkEnd w:id="0"/>
    <w:p w14:paraId="3368C2EF" w14:textId="77777777" w:rsidR="009844BA" w:rsidRPr="00962AB2" w:rsidRDefault="009844BA" w:rsidP="009844BA">
      <w:pPr>
        <w:rPr>
          <w:rFonts w:ascii="Times New Roman" w:hAnsi="Times New Roman" w:cs="Times New Roman"/>
          <w:b/>
          <w:sz w:val="25"/>
          <w:szCs w:val="25"/>
        </w:rPr>
      </w:pPr>
      <w:r w:rsidRPr="00962AB2">
        <w:rPr>
          <w:rFonts w:ascii="Times New Roman" w:hAnsi="Times New Roman" w:cs="Times New Roman"/>
          <w:b/>
          <w:bCs/>
          <w:color w:val="EE0000"/>
        </w:rPr>
        <w:t xml:space="preserve">Marcin </w:t>
      </w:r>
      <w:proofErr w:type="spellStart"/>
      <w:r w:rsidRPr="00962AB2">
        <w:rPr>
          <w:rFonts w:ascii="Times New Roman" w:hAnsi="Times New Roman" w:cs="Times New Roman"/>
          <w:b/>
          <w:bCs/>
          <w:color w:val="EE0000"/>
        </w:rPr>
        <w:t>Kucięba</w:t>
      </w:r>
      <w:proofErr w:type="spellEnd"/>
      <w:r w:rsidRPr="00962AB2">
        <w:rPr>
          <w:rFonts w:ascii="Times New Roman" w:hAnsi="Times New Roman" w:cs="Times New Roman"/>
          <w:color w:val="EE0000"/>
        </w:rPr>
        <w:t xml:space="preserve"> </w:t>
      </w:r>
      <w:r w:rsidRPr="00962AB2">
        <w:rPr>
          <w:rFonts w:ascii="Times New Roman" w:hAnsi="Times New Roman" w:cs="Times New Roman"/>
        </w:rPr>
        <w:t>– mgr inż., absolwent Akademii Górniczo-Hutniczej w Krakowie, specjalista i trener w obszarze BHP oraz bezpieczeństwa maszyn, a także wykładowca na studiach podyplomowych. W swojej pracy łączy wiedzę techniczną z praktycznym podejściem do oceny ryzyka i organizacji bezpiecznej pracy. Szczególnie ceni techniczne aspekty bezpieczeństwa oraz BHP, które można mierzyć, oceniać i realnie doskonalić.</w:t>
      </w:r>
    </w:p>
    <w:p w14:paraId="488BDF39" w14:textId="239DF810" w:rsidR="00870A68" w:rsidRPr="006C629D" w:rsidRDefault="00C72093" w:rsidP="001A0C89">
      <w:pPr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BC237CC" w14:textId="77777777" w:rsidR="005E0C39" w:rsidRPr="002F04CE" w:rsidRDefault="005E0C39" w:rsidP="005E0C39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2F04CE">
        <w:rPr>
          <w:rFonts w:ascii="Times New Roman" w:hAnsi="Times New Roman" w:cs="Times New Roman"/>
          <w:b/>
          <w:bCs/>
          <w:color w:val="EE0000"/>
          <w:sz w:val="28"/>
          <w:szCs w:val="28"/>
        </w:rPr>
        <w:t>Postępowanie powypadkowe bez błędów – kwalifikacja wypadków, dokumentacja i praktyczne warsztaty dla zespołów powypadkowych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21ED02C1" w14:textId="77777777" w:rsidR="001C7C6F" w:rsidRPr="00A272C4" w:rsidRDefault="001C7C6F" w:rsidP="001C7C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2C4">
        <w:rPr>
          <w:rFonts w:ascii="Times New Roman" w:hAnsi="Times New Roman" w:cs="Times New Roman"/>
          <w:b/>
          <w:bCs/>
          <w:sz w:val="24"/>
          <w:szCs w:val="24"/>
        </w:rPr>
        <w:t>Cel szkolenia</w:t>
      </w:r>
    </w:p>
    <w:p w14:paraId="1C8F723E" w14:textId="77777777" w:rsidR="001C7C6F" w:rsidRPr="00A272C4" w:rsidRDefault="001C7C6F" w:rsidP="001C7C6F">
      <w:pPr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>Przygotowanie uczestników do prawidłowego prowadzenia postępowań powypadkowych, kwalifikowania zdarzeń oraz sporządzania dokumentacji zgodnie z obowiązującymi przepisami.</w:t>
      </w:r>
    </w:p>
    <w:p w14:paraId="461E7CFB" w14:textId="77777777" w:rsidR="001C7C6F" w:rsidRPr="00A272C4" w:rsidRDefault="001C7C6F" w:rsidP="001C7C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2C4">
        <w:rPr>
          <w:rFonts w:ascii="Times New Roman" w:hAnsi="Times New Roman" w:cs="Times New Roman"/>
          <w:b/>
          <w:bCs/>
          <w:sz w:val="24"/>
          <w:szCs w:val="24"/>
        </w:rPr>
        <w:t>Korzyści z udziału</w:t>
      </w:r>
    </w:p>
    <w:p w14:paraId="1AAD7577" w14:textId="77777777" w:rsidR="001C7C6F" w:rsidRPr="00A272C4" w:rsidRDefault="001C7C6F" w:rsidP="001C7C6F">
      <w:pPr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>Uczestnicy poznają praktyczne zasady prowadzenia postępowań powypadkowych, nauczą się unikać najczęstszych błędów oraz właściwie dokumentować i analizować zdarzenia.</w:t>
      </w:r>
    </w:p>
    <w:p w14:paraId="0B800643" w14:textId="77777777" w:rsidR="001C7C6F" w:rsidRPr="00A272C4" w:rsidRDefault="001C7C6F" w:rsidP="001C7C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2C4">
        <w:rPr>
          <w:rFonts w:ascii="Times New Roman" w:hAnsi="Times New Roman" w:cs="Times New Roman"/>
          <w:b/>
          <w:bCs/>
          <w:sz w:val="24"/>
          <w:szCs w:val="24"/>
        </w:rPr>
        <w:t>Adresaci szkolenia</w:t>
      </w:r>
    </w:p>
    <w:p w14:paraId="497CFC60" w14:textId="77777777" w:rsidR="001C7C6F" w:rsidRPr="00A272C4" w:rsidRDefault="001C7C6F" w:rsidP="001C7C6F">
      <w:pPr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>Specjaliści i inspektorzy BHP, członkowie zespołów powypadkowych, kierownicy, mistrzowie, liderzy, społeczni inspektorzy pracy oraz przedstawiciele pracowników.</w:t>
      </w:r>
    </w:p>
    <w:p w14:paraId="5AEAC604" w14:textId="77777777" w:rsidR="001C7C6F" w:rsidRPr="00A272C4" w:rsidRDefault="001C7C6F" w:rsidP="001C7C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2C4">
        <w:rPr>
          <w:rFonts w:ascii="Times New Roman" w:hAnsi="Times New Roman" w:cs="Times New Roman"/>
          <w:b/>
          <w:bCs/>
          <w:sz w:val="24"/>
          <w:szCs w:val="24"/>
        </w:rPr>
        <w:t>Forma przekazu</w:t>
      </w:r>
    </w:p>
    <w:p w14:paraId="7BBB6ACE" w14:textId="77777777" w:rsidR="001C7C6F" w:rsidRPr="00A272C4" w:rsidRDefault="001C7C6F" w:rsidP="001C7C6F">
      <w:pPr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Warsztaty z elementami wykładu, </w:t>
      </w:r>
      <w:r w:rsidRPr="00A272C4">
        <w:rPr>
          <w:rFonts w:ascii="Times New Roman" w:hAnsi="Times New Roman" w:cs="Times New Roman"/>
          <w:b/>
          <w:bCs/>
          <w:sz w:val="24"/>
          <w:szCs w:val="24"/>
        </w:rPr>
        <w:t>analizą rzeczywistych przypadków (</w:t>
      </w:r>
      <w:proofErr w:type="spellStart"/>
      <w:r w:rsidRPr="00A272C4">
        <w:rPr>
          <w:rFonts w:ascii="Times New Roman" w:hAnsi="Times New Roman" w:cs="Times New Roman"/>
          <w:b/>
          <w:bCs/>
          <w:sz w:val="24"/>
          <w:szCs w:val="24"/>
        </w:rPr>
        <w:t>case</w:t>
      </w:r>
      <w:proofErr w:type="spellEnd"/>
      <w:r w:rsidRPr="00A272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72C4">
        <w:rPr>
          <w:rFonts w:ascii="Times New Roman" w:hAnsi="Times New Roman" w:cs="Times New Roman"/>
          <w:b/>
          <w:bCs/>
          <w:sz w:val="24"/>
          <w:szCs w:val="24"/>
        </w:rPr>
        <w:t>study</w:t>
      </w:r>
      <w:proofErr w:type="spellEnd"/>
      <w:r w:rsidRPr="00A272C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A272C4">
        <w:rPr>
          <w:rFonts w:ascii="Times New Roman" w:hAnsi="Times New Roman" w:cs="Times New Roman"/>
          <w:sz w:val="24"/>
          <w:szCs w:val="24"/>
        </w:rPr>
        <w:t xml:space="preserve">, </w:t>
      </w:r>
      <w:r w:rsidRPr="00A272C4">
        <w:rPr>
          <w:rFonts w:ascii="Times New Roman" w:hAnsi="Times New Roman" w:cs="Times New Roman"/>
          <w:b/>
          <w:bCs/>
          <w:sz w:val="24"/>
          <w:szCs w:val="24"/>
        </w:rPr>
        <w:t>ćwiczeniami praktycznymi</w:t>
      </w:r>
      <w:r w:rsidRPr="00A272C4">
        <w:rPr>
          <w:rFonts w:ascii="Times New Roman" w:hAnsi="Times New Roman" w:cs="Times New Roman"/>
          <w:sz w:val="24"/>
          <w:szCs w:val="24"/>
        </w:rPr>
        <w:t xml:space="preserve">, </w:t>
      </w:r>
      <w:r w:rsidRPr="00A272C4">
        <w:rPr>
          <w:rFonts w:ascii="Times New Roman" w:hAnsi="Times New Roman" w:cs="Times New Roman"/>
          <w:b/>
          <w:bCs/>
          <w:sz w:val="24"/>
          <w:szCs w:val="24"/>
        </w:rPr>
        <w:t>pracą w grupach</w:t>
      </w:r>
      <w:r w:rsidRPr="00A272C4">
        <w:rPr>
          <w:rFonts w:ascii="Times New Roman" w:hAnsi="Times New Roman" w:cs="Times New Roman"/>
          <w:sz w:val="24"/>
          <w:szCs w:val="24"/>
        </w:rPr>
        <w:t>, analizą dokumentacji oraz dyskusją nad najczęściej występującymi problemami.</w:t>
      </w:r>
    </w:p>
    <w:p w14:paraId="5FFD5B7E" w14:textId="77777777" w:rsidR="001C7C6F" w:rsidRPr="00A272C4" w:rsidRDefault="001C7C6F" w:rsidP="001C7C6F">
      <w:pPr>
        <w:rPr>
          <w:rFonts w:ascii="Times New Roman" w:hAnsi="Times New Roman" w:cs="Times New Roman"/>
          <w:sz w:val="24"/>
          <w:szCs w:val="24"/>
        </w:rPr>
      </w:pPr>
    </w:p>
    <w:p w14:paraId="15ABD7F4" w14:textId="77777777" w:rsidR="001C7C6F" w:rsidRPr="00A272C4" w:rsidRDefault="001C7C6F" w:rsidP="001C7C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2C4">
        <w:rPr>
          <w:rFonts w:ascii="Times New Roman" w:hAnsi="Times New Roman" w:cs="Times New Roman"/>
          <w:b/>
          <w:bCs/>
          <w:sz w:val="24"/>
          <w:szCs w:val="24"/>
        </w:rPr>
        <w:t>I. Postępowanie powypadkowe krok po kroku – od zdarzenia do działań naprawczych</w:t>
      </w:r>
    </w:p>
    <w:p w14:paraId="7C8863AF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Podstawy prawne, obowiązki i odpowiedzialność. </w:t>
      </w:r>
    </w:p>
    <w:p w14:paraId="17652BAF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Wypadek – pierwsze działania na miejscu zdarzenia. </w:t>
      </w:r>
    </w:p>
    <w:p w14:paraId="1F499CD6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Zgłoszenie wypadku i uruchomienie procedury. </w:t>
      </w:r>
    </w:p>
    <w:p w14:paraId="6612836C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Powołanie zespołu powypadkowego – skład i zakres odpowiedzialności. </w:t>
      </w:r>
    </w:p>
    <w:p w14:paraId="6F48C396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Zbieranie dowodów i informacji (dokumenty, świadkowie, maszyny). </w:t>
      </w:r>
    </w:p>
    <w:p w14:paraId="55844D46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Kwalifikacja zdarzenia: </w:t>
      </w:r>
    </w:p>
    <w:p w14:paraId="4F9552F7" w14:textId="77777777" w:rsidR="001C7C6F" w:rsidRPr="00A272C4" w:rsidRDefault="001C7C6F" w:rsidP="001C7C6F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wypadek przy pracy, </w:t>
      </w:r>
    </w:p>
    <w:p w14:paraId="2E9CB415" w14:textId="77777777" w:rsidR="001C7C6F" w:rsidRPr="00A272C4" w:rsidRDefault="001C7C6F" w:rsidP="001C7C6F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wypadek nieuznany za wypadek przy pracy, </w:t>
      </w:r>
    </w:p>
    <w:p w14:paraId="4CB5681D" w14:textId="77777777" w:rsidR="001C7C6F" w:rsidRPr="00A272C4" w:rsidRDefault="001C7C6F" w:rsidP="001C7C6F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rażące niedbalstwo, </w:t>
      </w:r>
    </w:p>
    <w:p w14:paraId="6667FC3F" w14:textId="77777777" w:rsidR="001C7C6F" w:rsidRPr="00A272C4" w:rsidRDefault="001C7C6F" w:rsidP="001C7C6F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zdarzenie potencjalnie wypadkowe, </w:t>
      </w:r>
    </w:p>
    <w:p w14:paraId="3E44E350" w14:textId="77777777" w:rsidR="001C7C6F" w:rsidRPr="00A272C4" w:rsidRDefault="001C7C6F" w:rsidP="001C7C6F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przypadki sporne i najczęstsze pułapki interpretacyjne. </w:t>
      </w:r>
    </w:p>
    <w:p w14:paraId="73D15983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lastRenderedPageBreak/>
        <w:t xml:space="preserve">Ustalenie ciężkości wypadku: </w:t>
      </w:r>
    </w:p>
    <w:p w14:paraId="4163F48B" w14:textId="77777777" w:rsidR="001C7C6F" w:rsidRPr="00A272C4" w:rsidRDefault="001C7C6F" w:rsidP="001C7C6F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lekki, </w:t>
      </w:r>
    </w:p>
    <w:p w14:paraId="32A95F60" w14:textId="77777777" w:rsidR="001C7C6F" w:rsidRPr="00A272C4" w:rsidRDefault="001C7C6F" w:rsidP="001C7C6F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ciężki, </w:t>
      </w:r>
    </w:p>
    <w:p w14:paraId="26BCA86A" w14:textId="77777777" w:rsidR="001C7C6F" w:rsidRPr="00A272C4" w:rsidRDefault="001C7C6F" w:rsidP="001C7C6F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śmiertelny, </w:t>
      </w:r>
    </w:p>
    <w:p w14:paraId="2E95A960" w14:textId="77777777" w:rsidR="001C7C6F" w:rsidRPr="00A272C4" w:rsidRDefault="001C7C6F" w:rsidP="001C7C6F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zbiorowy. </w:t>
      </w:r>
    </w:p>
    <w:p w14:paraId="3E8F8A90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Zapoznanie poszkodowanego z treścią protokołu i obowiązki informacyjne. </w:t>
      </w:r>
    </w:p>
    <w:p w14:paraId="23C3831E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Zastrzeżenia poszkodowanego – tryb zgłaszania i rozpatrywania. </w:t>
      </w:r>
    </w:p>
    <w:p w14:paraId="1E89D058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Zatwierdzenie lub zwrot protokołu przez pracodawcę. </w:t>
      </w:r>
    </w:p>
    <w:p w14:paraId="280A8D85" w14:textId="77777777" w:rsidR="001C7C6F" w:rsidRPr="00A272C4" w:rsidRDefault="001C7C6F" w:rsidP="001C7C6F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Działania naprawcze po zakończeniu postępowania. </w:t>
      </w:r>
    </w:p>
    <w:p w14:paraId="37E40115" w14:textId="77777777" w:rsidR="001C7C6F" w:rsidRPr="00A272C4" w:rsidRDefault="001C7C6F" w:rsidP="001C7C6F">
      <w:pPr>
        <w:rPr>
          <w:rFonts w:ascii="Times New Roman" w:hAnsi="Times New Roman" w:cs="Times New Roman"/>
          <w:sz w:val="24"/>
          <w:szCs w:val="24"/>
        </w:rPr>
      </w:pPr>
    </w:p>
    <w:p w14:paraId="410A4D55" w14:textId="77777777" w:rsidR="001C7C6F" w:rsidRPr="00A272C4" w:rsidRDefault="001C7C6F" w:rsidP="001C7C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2C4">
        <w:rPr>
          <w:rFonts w:ascii="Times New Roman" w:hAnsi="Times New Roman" w:cs="Times New Roman"/>
          <w:b/>
          <w:bCs/>
          <w:sz w:val="24"/>
          <w:szCs w:val="24"/>
        </w:rPr>
        <w:t>II. Wywiady powypadkowe i praca z uczestnikami zdarzenia</w:t>
      </w:r>
    </w:p>
    <w:p w14:paraId="43459364" w14:textId="77777777" w:rsidR="001C7C6F" w:rsidRPr="00A272C4" w:rsidRDefault="001C7C6F" w:rsidP="001C7C6F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Wywiady z uczestnikiem zdarzenia i świadkami. </w:t>
      </w:r>
    </w:p>
    <w:p w14:paraId="5F34312D" w14:textId="77777777" w:rsidR="001C7C6F" w:rsidRPr="00A272C4" w:rsidRDefault="001C7C6F" w:rsidP="001C7C6F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Jak prowadzić rozmowę bez sugerowania odpowiedzi. </w:t>
      </w:r>
    </w:p>
    <w:p w14:paraId="704F80FC" w14:textId="77777777" w:rsidR="001C7C6F" w:rsidRPr="00A272C4" w:rsidRDefault="001C7C6F" w:rsidP="001C7C6F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Pozyskiwanie wiarygodnych informacji w sytuacjach stresowych. </w:t>
      </w:r>
    </w:p>
    <w:p w14:paraId="35142421" w14:textId="77777777" w:rsidR="001C7C6F" w:rsidRPr="00A272C4" w:rsidRDefault="001C7C6F" w:rsidP="001C7C6F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Dokumentowanie wywiadów – notatki, oświadczenia i podpisy. </w:t>
      </w:r>
    </w:p>
    <w:p w14:paraId="60BAE512" w14:textId="77777777" w:rsidR="001C7C6F" w:rsidRPr="00A272C4" w:rsidRDefault="001C7C6F" w:rsidP="001C7C6F">
      <w:pPr>
        <w:rPr>
          <w:rFonts w:ascii="Times New Roman" w:hAnsi="Times New Roman" w:cs="Times New Roman"/>
          <w:sz w:val="24"/>
          <w:szCs w:val="24"/>
        </w:rPr>
      </w:pPr>
    </w:p>
    <w:p w14:paraId="7CF2D0A2" w14:textId="77777777" w:rsidR="001C7C6F" w:rsidRPr="00A272C4" w:rsidRDefault="001C7C6F" w:rsidP="001C7C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2C4">
        <w:rPr>
          <w:rFonts w:ascii="Times New Roman" w:hAnsi="Times New Roman" w:cs="Times New Roman"/>
          <w:b/>
          <w:bCs/>
          <w:sz w:val="24"/>
          <w:szCs w:val="24"/>
        </w:rPr>
        <w:t>III. Analiza przyczyn i działania zapobiegawcze</w:t>
      </w:r>
    </w:p>
    <w:p w14:paraId="0A3AC2AD" w14:textId="77777777" w:rsidR="001C7C6F" w:rsidRPr="00A272C4" w:rsidRDefault="001C7C6F" w:rsidP="001C7C6F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Analiza przyczyn zdarzenia: </w:t>
      </w:r>
    </w:p>
    <w:p w14:paraId="0B4B2903" w14:textId="77777777" w:rsidR="001C7C6F" w:rsidRPr="00A272C4" w:rsidRDefault="001C7C6F" w:rsidP="001C7C6F">
      <w:pPr>
        <w:widowControl/>
        <w:numPr>
          <w:ilvl w:val="1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metoda 5 </w:t>
      </w:r>
      <w:proofErr w:type="spellStart"/>
      <w:r w:rsidRPr="00A272C4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A272C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D711A7A" w14:textId="77777777" w:rsidR="001C7C6F" w:rsidRPr="00A272C4" w:rsidRDefault="001C7C6F" w:rsidP="001C7C6F">
      <w:pPr>
        <w:widowControl/>
        <w:numPr>
          <w:ilvl w:val="1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drzewo przyczyn, </w:t>
      </w:r>
    </w:p>
    <w:p w14:paraId="5711919C" w14:textId="77777777" w:rsidR="001C7C6F" w:rsidRPr="00A272C4" w:rsidRDefault="001C7C6F" w:rsidP="001C7C6F">
      <w:pPr>
        <w:widowControl/>
        <w:numPr>
          <w:ilvl w:val="1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metoda </w:t>
      </w:r>
      <w:proofErr w:type="spellStart"/>
      <w:r w:rsidRPr="00A272C4">
        <w:rPr>
          <w:rFonts w:ascii="Times New Roman" w:hAnsi="Times New Roman" w:cs="Times New Roman"/>
          <w:sz w:val="24"/>
          <w:szCs w:val="24"/>
        </w:rPr>
        <w:t>Ishikawy</w:t>
      </w:r>
      <w:proofErr w:type="spellEnd"/>
      <w:r w:rsidRPr="00A272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0BFEF6" w14:textId="77777777" w:rsidR="001C7C6F" w:rsidRPr="00A272C4" w:rsidRDefault="001C7C6F" w:rsidP="001C7C6F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Identyfikacja przyczyn bezpośrednich i pośrednich. </w:t>
      </w:r>
    </w:p>
    <w:p w14:paraId="5F4115C8" w14:textId="77777777" w:rsidR="001C7C6F" w:rsidRPr="00A272C4" w:rsidRDefault="001C7C6F" w:rsidP="001C7C6F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Jak nie ograniczać się do stwierdzenia „błąd człowieka”. </w:t>
      </w:r>
    </w:p>
    <w:p w14:paraId="5EED8181" w14:textId="77777777" w:rsidR="001C7C6F" w:rsidRPr="00A272C4" w:rsidRDefault="001C7C6F" w:rsidP="001C7C6F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Tworzenie działań korygujących i zapobiegawczych. </w:t>
      </w:r>
    </w:p>
    <w:p w14:paraId="588E28A0" w14:textId="77777777" w:rsidR="001C7C6F" w:rsidRPr="00A272C4" w:rsidRDefault="001C7C6F" w:rsidP="001C7C6F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Formułowanie działań zgodnie z metodą SMART. </w:t>
      </w:r>
    </w:p>
    <w:p w14:paraId="60B95824" w14:textId="77777777" w:rsidR="001C7C6F" w:rsidRPr="00A272C4" w:rsidRDefault="001C7C6F" w:rsidP="001C7C6F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Powiązanie działań z oceną ryzyka, ISO 45001 oraz cyklem PDCA. </w:t>
      </w:r>
    </w:p>
    <w:p w14:paraId="41774B00" w14:textId="77777777" w:rsidR="001C7C6F" w:rsidRPr="00A272C4" w:rsidRDefault="001C7C6F" w:rsidP="001C7C6F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Raportowanie i komunikowanie wyników. </w:t>
      </w:r>
    </w:p>
    <w:p w14:paraId="18850463" w14:textId="77777777" w:rsidR="001C7C6F" w:rsidRPr="00A272C4" w:rsidRDefault="001C7C6F" w:rsidP="001C7C6F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Protokół powypadkowy a raport analityczny dla organizacji. </w:t>
      </w:r>
    </w:p>
    <w:p w14:paraId="42060515" w14:textId="77777777" w:rsidR="001C7C6F" w:rsidRPr="00A272C4" w:rsidRDefault="001C7C6F" w:rsidP="001C7C6F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Prezentowanie wyników kierownictwu i pracownikom. </w:t>
      </w:r>
    </w:p>
    <w:p w14:paraId="7BFDDC87" w14:textId="77777777" w:rsidR="001C7C6F" w:rsidRPr="00A272C4" w:rsidRDefault="001C7C6F" w:rsidP="001C7C6F">
      <w:pPr>
        <w:rPr>
          <w:rFonts w:ascii="Times New Roman" w:hAnsi="Times New Roman" w:cs="Times New Roman"/>
          <w:sz w:val="24"/>
          <w:szCs w:val="24"/>
        </w:rPr>
      </w:pPr>
    </w:p>
    <w:p w14:paraId="55022871" w14:textId="77777777" w:rsidR="001C7C6F" w:rsidRPr="00A272C4" w:rsidRDefault="001C7C6F" w:rsidP="001C7C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72C4">
        <w:rPr>
          <w:rFonts w:ascii="Times New Roman" w:hAnsi="Times New Roman" w:cs="Times New Roman"/>
          <w:b/>
          <w:bCs/>
          <w:sz w:val="24"/>
          <w:szCs w:val="24"/>
        </w:rPr>
        <w:t>IV. Warsztaty praktyczne</w:t>
      </w:r>
    </w:p>
    <w:p w14:paraId="4ED66B90" w14:textId="77777777" w:rsidR="001C7C6F" w:rsidRPr="00A272C4" w:rsidRDefault="001C7C6F" w:rsidP="001C7C6F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Analiza rzeczywistych przypadków. </w:t>
      </w:r>
    </w:p>
    <w:p w14:paraId="12E95E77" w14:textId="77777777" w:rsidR="001C7C6F" w:rsidRPr="00A272C4" w:rsidRDefault="001C7C6F" w:rsidP="001C7C6F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lastRenderedPageBreak/>
        <w:t xml:space="preserve">Opracowanie przyczyn i działań naprawczych w grupach. </w:t>
      </w:r>
    </w:p>
    <w:p w14:paraId="1DD9A4F8" w14:textId="77777777" w:rsidR="001C7C6F" w:rsidRPr="00A272C4" w:rsidRDefault="001C7C6F" w:rsidP="001C7C6F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Analiza zastrzeżeń poszkodowanego i odpowiedzi zespołu powypadkowego. </w:t>
      </w:r>
    </w:p>
    <w:p w14:paraId="419A783D" w14:textId="77777777" w:rsidR="001C7C6F" w:rsidRPr="00A272C4" w:rsidRDefault="001C7C6F" w:rsidP="001C7C6F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A272C4">
        <w:rPr>
          <w:rFonts w:ascii="Times New Roman" w:hAnsi="Times New Roman" w:cs="Times New Roman"/>
          <w:sz w:val="24"/>
          <w:szCs w:val="24"/>
        </w:rPr>
        <w:t xml:space="preserve">Prezentacja i omówienie wypracowanych rozwiązań. </w:t>
      </w: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AA6E3B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5734B8C"/>
    <w:multiLevelType w:val="multilevel"/>
    <w:tmpl w:val="0F7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A063675"/>
    <w:multiLevelType w:val="multilevel"/>
    <w:tmpl w:val="C4F0C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A517603"/>
    <w:multiLevelType w:val="multilevel"/>
    <w:tmpl w:val="5D54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122B3B6B"/>
    <w:multiLevelType w:val="multilevel"/>
    <w:tmpl w:val="8206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7FF345F"/>
    <w:multiLevelType w:val="multilevel"/>
    <w:tmpl w:val="BA7C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146C4D"/>
    <w:multiLevelType w:val="multilevel"/>
    <w:tmpl w:val="3254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A70189"/>
    <w:multiLevelType w:val="multilevel"/>
    <w:tmpl w:val="14C4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5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3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2A4C32"/>
    <w:multiLevelType w:val="multilevel"/>
    <w:tmpl w:val="B8E6E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8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3"/>
  </w:num>
  <w:num w:numId="2" w16cid:durableId="1678653740">
    <w:abstractNumId w:val="26"/>
  </w:num>
  <w:num w:numId="3" w16cid:durableId="261382043">
    <w:abstractNumId w:val="35"/>
  </w:num>
  <w:num w:numId="4" w16cid:durableId="1520777818">
    <w:abstractNumId w:val="28"/>
  </w:num>
  <w:num w:numId="5" w16cid:durableId="1095517474">
    <w:abstractNumId w:val="27"/>
  </w:num>
  <w:num w:numId="6" w16cid:durableId="503279571">
    <w:abstractNumId w:val="43"/>
  </w:num>
  <w:num w:numId="7" w16cid:durableId="943683199">
    <w:abstractNumId w:val="41"/>
  </w:num>
  <w:num w:numId="8" w16cid:durableId="1685938094">
    <w:abstractNumId w:val="48"/>
  </w:num>
  <w:num w:numId="9" w16cid:durableId="1711299630">
    <w:abstractNumId w:val="42"/>
  </w:num>
  <w:num w:numId="10" w16cid:durableId="608320993">
    <w:abstractNumId w:val="20"/>
  </w:num>
  <w:num w:numId="11" w16cid:durableId="1621255964">
    <w:abstractNumId w:val="13"/>
  </w:num>
  <w:num w:numId="12" w16cid:durableId="598179624">
    <w:abstractNumId w:val="19"/>
  </w:num>
  <w:num w:numId="13" w16cid:durableId="366687856">
    <w:abstractNumId w:val="46"/>
  </w:num>
  <w:num w:numId="14" w16cid:durableId="1121219971">
    <w:abstractNumId w:val="16"/>
  </w:num>
  <w:num w:numId="15" w16cid:durableId="1788354766">
    <w:abstractNumId w:val="14"/>
  </w:num>
  <w:num w:numId="16" w16cid:durableId="172575507">
    <w:abstractNumId w:val="40"/>
  </w:num>
  <w:num w:numId="17" w16cid:durableId="1045565260">
    <w:abstractNumId w:val="38"/>
  </w:num>
  <w:num w:numId="18" w16cid:durableId="134224124">
    <w:abstractNumId w:val="37"/>
  </w:num>
  <w:num w:numId="19" w16cid:durableId="1459493326">
    <w:abstractNumId w:val="47"/>
  </w:num>
  <w:num w:numId="20" w16cid:durableId="1829902598">
    <w:abstractNumId w:val="34"/>
  </w:num>
  <w:num w:numId="21" w16cid:durableId="1149709086">
    <w:abstractNumId w:val="29"/>
  </w:num>
  <w:num w:numId="22" w16cid:durableId="662661966">
    <w:abstractNumId w:val="31"/>
  </w:num>
  <w:num w:numId="23" w16cid:durableId="1399590505">
    <w:abstractNumId w:val="39"/>
  </w:num>
  <w:num w:numId="24" w16cid:durableId="2038696968">
    <w:abstractNumId w:val="22"/>
  </w:num>
  <w:num w:numId="25" w16cid:durableId="755516937">
    <w:abstractNumId w:val="36"/>
  </w:num>
  <w:num w:numId="26" w16cid:durableId="1818523141">
    <w:abstractNumId w:val="24"/>
  </w:num>
  <w:num w:numId="27" w16cid:durableId="638463559">
    <w:abstractNumId w:val="44"/>
  </w:num>
  <w:num w:numId="28" w16cid:durableId="1468863311">
    <w:abstractNumId w:val="25"/>
  </w:num>
  <w:num w:numId="29" w16cid:durableId="1758211933">
    <w:abstractNumId w:val="1"/>
  </w:num>
  <w:num w:numId="30" w16cid:durableId="1355037294">
    <w:abstractNumId w:val="0"/>
  </w:num>
  <w:num w:numId="31" w16cid:durableId="776875265">
    <w:abstractNumId w:val="15"/>
  </w:num>
  <w:num w:numId="32" w16cid:durableId="1399522784">
    <w:abstractNumId w:val="30"/>
  </w:num>
  <w:num w:numId="33" w16cid:durableId="970014407">
    <w:abstractNumId w:val="18"/>
  </w:num>
  <w:num w:numId="34" w16cid:durableId="1526481899">
    <w:abstractNumId w:val="23"/>
  </w:num>
  <w:num w:numId="35" w16cid:durableId="591161327">
    <w:abstractNumId w:val="45"/>
  </w:num>
  <w:num w:numId="36" w16cid:durableId="381953062">
    <w:abstractNumId w:val="21"/>
  </w:num>
  <w:num w:numId="37" w16cid:durableId="1526408649">
    <w:abstractNumId w:val="17"/>
  </w:num>
  <w:num w:numId="38" w16cid:durableId="2124031886">
    <w:abstractNumId w:val="3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5cbN35CrNX0WT8duphvt4n+G081DSW78/H+kHf51Xq77Z7O2m1Dz9lIQKat/Aa8sOZCfgklW0uxgn/gH+aCSVw==" w:salt="1BJAfTgtyTy5XoT2DbyGA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C7C6F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15E0B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04CE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0E19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0FD3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0C39"/>
    <w:rsid w:val="005E7688"/>
    <w:rsid w:val="005F23DC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560BB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2606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56B62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361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B37"/>
    <w:rsid w:val="00957D33"/>
    <w:rsid w:val="0096056C"/>
    <w:rsid w:val="00960956"/>
    <w:rsid w:val="00962EBE"/>
    <w:rsid w:val="0097267E"/>
    <w:rsid w:val="00977B53"/>
    <w:rsid w:val="00980FB4"/>
    <w:rsid w:val="009844BA"/>
    <w:rsid w:val="00990303"/>
    <w:rsid w:val="009927CF"/>
    <w:rsid w:val="00993B71"/>
    <w:rsid w:val="009A37B9"/>
    <w:rsid w:val="009A4A44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A6E3B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077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309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4D2E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4615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4</Pages>
  <Words>947</Words>
  <Characters>5685</Characters>
  <Application>Microsoft Office Word</Application>
  <DocSecurity>8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819</cp:revision>
  <cp:lastPrinted>2019-04-30T11:10:00Z</cp:lastPrinted>
  <dcterms:created xsi:type="dcterms:W3CDTF">2022-08-12T10:48:00Z</dcterms:created>
  <dcterms:modified xsi:type="dcterms:W3CDTF">2026-08-03T10:34:00Z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