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2CB5F16" w14:textId="77777777" w:rsidR="0035465B" w:rsidRDefault="0035465B" w:rsidP="002E785D">
      <w:pPr>
        <w:spacing w:line="36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26E35822" w14:textId="77777777" w:rsidR="00FD4078" w:rsidRPr="00D3066E" w:rsidRDefault="00FD4078" w:rsidP="00FD4078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D3066E">
        <w:rPr>
          <w:rFonts w:ascii="Times New Roman" w:hAnsi="Times New Roman" w:cs="Times New Roman"/>
          <w:b/>
          <w:bCs/>
          <w:color w:val="EE0000"/>
          <w:sz w:val="28"/>
          <w:szCs w:val="28"/>
        </w:rPr>
        <w:t>Zmiany w prawie pracy 2026 – jak przygotować dział kadr i HR do kontroli PIP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4D7D49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4D7D49">
        <w:tc>
          <w:tcPr>
            <w:tcW w:w="1060" w:type="pct"/>
          </w:tcPr>
          <w:p w14:paraId="16531E3E" w14:textId="6AC30604" w:rsidR="006C629D" w:rsidRPr="006E3C44" w:rsidRDefault="004D7D49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6E40DD6B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ED43AC8" w14:textId="0ECB9142" w:rsidR="006C629D" w:rsidRPr="006E3C44" w:rsidRDefault="00647D8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4D7D49">
        <w:tc>
          <w:tcPr>
            <w:tcW w:w="1060" w:type="pct"/>
          </w:tcPr>
          <w:p w14:paraId="098AE4A5" w14:textId="74973EDE" w:rsidR="006C629D" w:rsidRPr="006E3C44" w:rsidRDefault="004D7D4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684E8A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49882706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522A21C1" w14:textId="77777777" w:rsidTr="004D7D49">
        <w:tc>
          <w:tcPr>
            <w:tcW w:w="1060" w:type="pct"/>
          </w:tcPr>
          <w:p w14:paraId="28F44729" w14:textId="1A06E24E" w:rsidR="006C629D" w:rsidRPr="006E3C44" w:rsidRDefault="004D7D4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C629D" w:rsidRPr="006E3C44">
              <w:rPr>
                <w:rFonts w:ascii="Times New Roman" w:hAnsi="Times New Roman" w:cs="Times New Roman"/>
                <w:b/>
              </w:rPr>
              <w:t>6.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67CE2659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51160951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D7D49" w:rsidRPr="006C629D" w14:paraId="746B8DE6" w14:textId="77777777" w:rsidTr="004D7D49">
        <w:tc>
          <w:tcPr>
            <w:tcW w:w="1060" w:type="pct"/>
          </w:tcPr>
          <w:p w14:paraId="37E17FA1" w14:textId="7DD7F2C7" w:rsidR="004D7D49" w:rsidRDefault="004D7D4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07.12.2026</w:t>
            </w:r>
          </w:p>
        </w:tc>
        <w:tc>
          <w:tcPr>
            <w:tcW w:w="195" w:type="pct"/>
          </w:tcPr>
          <w:p w14:paraId="60EA1588" w14:textId="77777777" w:rsidR="004D7D49" w:rsidRPr="006E3C44" w:rsidRDefault="004D7D4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2120773805" w:edGrp="everyone"/>
            <w:permEnd w:id="2120773805"/>
          </w:p>
        </w:tc>
        <w:tc>
          <w:tcPr>
            <w:tcW w:w="1052" w:type="pct"/>
          </w:tcPr>
          <w:p w14:paraId="0F48FEA4" w14:textId="762B4256" w:rsidR="004D7D49" w:rsidRPr="006E3C44" w:rsidRDefault="004D7D4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7E5D9332" w14:textId="52F2A59D" w:rsidR="004D7D49" w:rsidRPr="006E3C44" w:rsidRDefault="004D7D4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D49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66E4D927" w14:textId="7FC12684" w:rsidR="004D7D49" w:rsidRDefault="004D7D4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D49">
              <w:rPr>
                <w:rFonts w:ascii="Times New Roman" w:hAnsi="Times New Roman" w:cs="Times New Roman"/>
                <w:b/>
              </w:rPr>
              <w:t xml:space="preserve">Rafał Czech 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599605DA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2D26BE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AE522FA" w14:textId="77777777" w:rsidR="00020C49" w:rsidRDefault="00EF1667" w:rsidP="0073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733A24" w:rsidRPr="00005626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Rafał Czech</w:t>
      </w:r>
      <w:r w:rsidR="00733A24" w:rsidRPr="0000562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 -</w:t>
      </w:r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prawnik i praktyk prawa pracy, wieloletni wykładowca oraz pracownik organu nadzoru nad przestrzeganiem prawa pracy. Autor ponad tysiąca opinii prawnych i artykułów, ekspert w zakresie prawa pracy, czasu pracy, wynagrodzeń, </w:t>
      </w:r>
      <w:proofErr w:type="spellStart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i dyskryminacji. Ceniony szkoleniowiec, członek zespołów opiniujących zmiany w przepisach prawa</w:t>
      </w:r>
    </w:p>
    <w:p w14:paraId="488BDF39" w14:textId="57DA4064" w:rsidR="00870A68" w:rsidRPr="006C629D" w:rsidRDefault="00733A24" w:rsidP="00733A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020C49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32DBE70" w14:textId="77777777" w:rsidR="00FD4078" w:rsidRPr="00D3066E" w:rsidRDefault="00FD4078" w:rsidP="00FD4078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D3066E">
        <w:rPr>
          <w:rFonts w:ascii="Times New Roman" w:hAnsi="Times New Roman" w:cs="Times New Roman"/>
          <w:b/>
          <w:bCs/>
          <w:color w:val="EE0000"/>
          <w:sz w:val="28"/>
          <w:szCs w:val="28"/>
        </w:rPr>
        <w:t>Zmiany w prawie pracy 2026 – jak przygotować dział kadr i HR do kontroli PIP</w:t>
      </w:r>
    </w:p>
    <w:p w14:paraId="5CB0A793" w14:textId="77777777" w:rsidR="00FE7E18" w:rsidRDefault="00FE7E18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DBCB9" w14:textId="420122F9" w:rsidR="00FD4078" w:rsidRPr="00FD4078" w:rsidRDefault="00FD4078" w:rsidP="00FD4078">
      <w:pPr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b/>
          <w:bCs/>
          <w:sz w:val="24"/>
          <w:szCs w:val="24"/>
        </w:rPr>
        <w:t>Cel szkolenia</w:t>
      </w:r>
      <w:r w:rsidRPr="005E76E0">
        <w:rPr>
          <w:rFonts w:ascii="Times New Roman" w:hAnsi="Times New Roman" w:cs="Times New Roman"/>
          <w:sz w:val="24"/>
          <w:szCs w:val="24"/>
        </w:rPr>
        <w:br/>
        <w:t>Przygotowanie działów kadr i HR do stosowania zmian w prawie pracy w 2026 r. oraz właściwego przygotowania do kontroli PIP.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7798D1C" w14:textId="77777777" w:rsidR="00FD4078" w:rsidRPr="005E76E0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76E0">
        <w:rPr>
          <w:rFonts w:ascii="Times New Roman" w:hAnsi="Times New Roman" w:cs="Times New Roman"/>
          <w:b/>
          <w:bCs/>
          <w:sz w:val="24"/>
          <w:szCs w:val="24"/>
        </w:rPr>
        <w:t>Uprawnienia PIP do przekształcania umów cywilnoprawnych na umowy o pracę – jak się zabezpieczyć?</w:t>
      </w:r>
    </w:p>
    <w:p w14:paraId="2D273341" w14:textId="77777777" w:rsidR="00FD4078" w:rsidRPr="005E76E0" w:rsidRDefault="00FD4078" w:rsidP="00FD4078">
      <w:pPr>
        <w:widowControl/>
        <w:numPr>
          <w:ilvl w:val="0"/>
          <w:numId w:val="47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Nowe uprawnienia Państwowej Inspekcji Pracy – kiedy inspektor może zakwestionować umowę zlecenia lub kontrakt B2B. </w:t>
      </w:r>
    </w:p>
    <w:p w14:paraId="53E61469" w14:textId="77777777" w:rsidR="00FD4078" w:rsidRPr="005E76E0" w:rsidRDefault="00FD4078" w:rsidP="00FD4078">
      <w:pPr>
        <w:widowControl/>
        <w:numPr>
          <w:ilvl w:val="0"/>
          <w:numId w:val="47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Umowa cywilnoprawna czy stosunek pracy? – kryteria oceny, najczęstsze błędy i praktyczne przykłady. </w:t>
      </w:r>
    </w:p>
    <w:p w14:paraId="3CA9EB25" w14:textId="77777777" w:rsidR="00FD4078" w:rsidRPr="005E76E0" w:rsidRDefault="00FD4078" w:rsidP="00FD4078">
      <w:pPr>
        <w:widowControl/>
        <w:numPr>
          <w:ilvl w:val="0"/>
          <w:numId w:val="47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Kontrola PIP w zakresie umów cywilnoprawnych – przebieg kontroli, wymagane dokumenty i prawa pracodawcy. </w:t>
      </w:r>
    </w:p>
    <w:p w14:paraId="5DAEAC9A" w14:textId="77777777" w:rsidR="00FD4078" w:rsidRPr="005E76E0" w:rsidRDefault="00FD4078" w:rsidP="00FD4078">
      <w:pPr>
        <w:widowControl/>
        <w:numPr>
          <w:ilvl w:val="0"/>
          <w:numId w:val="47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Konsekwencje uznania umowy cywilnoprawnej za umowę o pracę – skutki finansowe, ZUS, podatki oraz odpowiedzialność pracodawcy. </w:t>
      </w:r>
    </w:p>
    <w:p w14:paraId="112078B3" w14:textId="77777777" w:rsidR="00FD4078" w:rsidRDefault="00FD4078" w:rsidP="00FD4078">
      <w:pPr>
        <w:widowControl/>
        <w:numPr>
          <w:ilvl w:val="0"/>
          <w:numId w:val="47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Jak ograniczyć ryzyko zakwestionowania umów? – praktyczne rozwiązania, dokumentacja i dobre praktyki przygotowujące firmę do kontroli.</w:t>
      </w:r>
    </w:p>
    <w:p w14:paraId="25C31BF5" w14:textId="77777777" w:rsidR="00FD4078" w:rsidRPr="005E76E0" w:rsidRDefault="00FD4078" w:rsidP="00FD407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91450EF" w14:textId="77777777" w:rsidR="00FD4078" w:rsidRPr="005E76E0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E76E0">
        <w:rPr>
          <w:rFonts w:ascii="Times New Roman" w:hAnsi="Times New Roman" w:cs="Times New Roman"/>
          <w:b/>
          <w:bCs/>
          <w:sz w:val="24"/>
          <w:szCs w:val="24"/>
        </w:rPr>
        <w:t>Mobbing</w:t>
      </w:r>
      <w:proofErr w:type="spellEnd"/>
      <w:r w:rsidRPr="005E76E0">
        <w:rPr>
          <w:rFonts w:ascii="Times New Roman" w:hAnsi="Times New Roman" w:cs="Times New Roman"/>
          <w:b/>
          <w:bCs/>
          <w:sz w:val="24"/>
          <w:szCs w:val="24"/>
        </w:rPr>
        <w:t>, dyskryminacja i nowe obowiązki prewencyjne</w:t>
      </w:r>
    </w:p>
    <w:p w14:paraId="2B71ACE1" w14:textId="77777777" w:rsidR="00FD4078" w:rsidRPr="005E76E0" w:rsidRDefault="00FD4078" w:rsidP="00FD4078">
      <w:pPr>
        <w:widowControl/>
        <w:numPr>
          <w:ilvl w:val="0"/>
          <w:numId w:val="45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Nowa definicja </w:t>
      </w:r>
      <w:proofErr w:type="spellStart"/>
      <w:r w:rsidRPr="005E76E0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5E76E0">
        <w:rPr>
          <w:rFonts w:ascii="Times New Roman" w:hAnsi="Times New Roman" w:cs="Times New Roman"/>
          <w:sz w:val="24"/>
          <w:szCs w:val="24"/>
        </w:rPr>
        <w:t xml:space="preserve"> i rozszerzona odpowiedzialność pracodawcy.</w:t>
      </w:r>
    </w:p>
    <w:p w14:paraId="4301F53A" w14:textId="77777777" w:rsidR="00FD4078" w:rsidRPr="005E76E0" w:rsidRDefault="00FD4078" w:rsidP="00FD4078">
      <w:pPr>
        <w:widowControl/>
        <w:numPr>
          <w:ilvl w:val="0"/>
          <w:numId w:val="45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Procedura </w:t>
      </w:r>
      <w:proofErr w:type="spellStart"/>
      <w:r w:rsidRPr="005E76E0">
        <w:rPr>
          <w:rFonts w:ascii="Times New Roman" w:hAnsi="Times New Roman" w:cs="Times New Roman"/>
          <w:sz w:val="24"/>
          <w:szCs w:val="24"/>
        </w:rPr>
        <w:t>antymobbingowa</w:t>
      </w:r>
      <w:proofErr w:type="spellEnd"/>
      <w:r w:rsidRPr="005E76E0">
        <w:rPr>
          <w:rFonts w:ascii="Times New Roman" w:hAnsi="Times New Roman" w:cs="Times New Roman"/>
          <w:sz w:val="24"/>
          <w:szCs w:val="24"/>
        </w:rPr>
        <w:t xml:space="preserve"> i antydyskryminacyjna – kiedy obowiązkowa?</w:t>
      </w:r>
    </w:p>
    <w:p w14:paraId="3D298278" w14:textId="77777777" w:rsidR="00FD4078" w:rsidRPr="005E76E0" w:rsidRDefault="00FD4078" w:rsidP="00FD4078">
      <w:pPr>
        <w:widowControl/>
        <w:numPr>
          <w:ilvl w:val="0"/>
          <w:numId w:val="45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Rola szkoleń i dokumentacji w zapobieganiu naruszeniom.</w:t>
      </w:r>
    </w:p>
    <w:p w14:paraId="7C7F0B9C" w14:textId="77777777" w:rsidR="00FD4078" w:rsidRPr="005E76E0" w:rsidRDefault="00FD4078" w:rsidP="00FD4078">
      <w:pPr>
        <w:widowControl/>
        <w:numPr>
          <w:ilvl w:val="0"/>
          <w:numId w:val="45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Możliwość dochodzenia roszczeń i regresu wobec sprawcy </w:t>
      </w:r>
      <w:proofErr w:type="spellStart"/>
      <w:r w:rsidRPr="005E76E0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5E76E0">
        <w:rPr>
          <w:rFonts w:ascii="Times New Roman" w:hAnsi="Times New Roman" w:cs="Times New Roman"/>
          <w:sz w:val="24"/>
          <w:szCs w:val="24"/>
        </w:rPr>
        <w:t>.</w:t>
      </w:r>
    </w:p>
    <w:p w14:paraId="30ED4D98" w14:textId="77777777" w:rsidR="00FD4078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C685AE" w14:textId="77777777" w:rsidR="00FD4078" w:rsidRPr="005E76E0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76E0">
        <w:rPr>
          <w:rFonts w:ascii="Times New Roman" w:hAnsi="Times New Roman" w:cs="Times New Roman"/>
          <w:b/>
          <w:bCs/>
          <w:sz w:val="24"/>
          <w:szCs w:val="24"/>
        </w:rPr>
        <w:t>Jawność wynagrodzeń – obowiązki informacyjne i wartościowanie stanowisk</w:t>
      </w:r>
    </w:p>
    <w:p w14:paraId="4D03264C" w14:textId="77777777" w:rsidR="00FD4078" w:rsidRPr="005E76E0" w:rsidRDefault="00FD4078" w:rsidP="00FD4078">
      <w:pPr>
        <w:widowControl/>
        <w:numPr>
          <w:ilvl w:val="0"/>
          <w:numId w:val="46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Etapy wdrażania dyrektywy o jawności wynagrodzeń w Polsce.</w:t>
      </w:r>
    </w:p>
    <w:p w14:paraId="0CE11365" w14:textId="77777777" w:rsidR="00FD4078" w:rsidRPr="005E76E0" w:rsidRDefault="00FD4078" w:rsidP="00FD4078">
      <w:pPr>
        <w:widowControl/>
        <w:numPr>
          <w:ilvl w:val="0"/>
          <w:numId w:val="46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Jakie dane należy ujawniać i raportować?</w:t>
      </w:r>
    </w:p>
    <w:p w14:paraId="31B1BEBE" w14:textId="77777777" w:rsidR="00FD4078" w:rsidRPr="005E76E0" w:rsidRDefault="00FD4078" w:rsidP="00FD4078">
      <w:pPr>
        <w:widowControl/>
        <w:numPr>
          <w:ilvl w:val="0"/>
          <w:numId w:val="46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Wymóg publikacji widełek płacowych w ogłoszeniach o pracę.</w:t>
      </w:r>
    </w:p>
    <w:p w14:paraId="0AEF4995" w14:textId="77777777" w:rsidR="00FD4078" w:rsidRPr="005E76E0" w:rsidRDefault="00FD4078" w:rsidP="00FD4078">
      <w:pPr>
        <w:widowControl/>
        <w:numPr>
          <w:ilvl w:val="0"/>
          <w:numId w:val="46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Jak przygotować firmę do wartościowania stanowisk pracy?</w:t>
      </w:r>
    </w:p>
    <w:p w14:paraId="18E68258" w14:textId="77777777" w:rsidR="00FD4078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2319B2" w14:textId="77777777" w:rsidR="00FD4078" w:rsidRPr="005E76E0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Z</w:t>
      </w:r>
      <w:r w:rsidRPr="005E76E0">
        <w:rPr>
          <w:rFonts w:ascii="Times New Roman" w:hAnsi="Times New Roman" w:cs="Times New Roman"/>
          <w:b/>
          <w:bCs/>
          <w:sz w:val="24"/>
          <w:szCs w:val="24"/>
        </w:rPr>
        <w:t>asady zaliczania okresów do stażu pracy</w:t>
      </w:r>
    </w:p>
    <w:p w14:paraId="039DB68E" w14:textId="77777777" w:rsidR="00FD4078" w:rsidRPr="005E76E0" w:rsidRDefault="00FD4078" w:rsidP="00FD4078">
      <w:pPr>
        <w:widowControl/>
        <w:numPr>
          <w:ilvl w:val="0"/>
          <w:numId w:val="42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Umowy zlecenia i działalność gospodarcza w stażu pracy – na jakich zasadach?</w:t>
      </w:r>
    </w:p>
    <w:p w14:paraId="547126D9" w14:textId="77777777" w:rsidR="00FD4078" w:rsidRPr="005E76E0" w:rsidRDefault="00FD4078" w:rsidP="00FD4078">
      <w:pPr>
        <w:widowControl/>
        <w:numPr>
          <w:ilvl w:val="0"/>
          <w:numId w:val="42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 xml:space="preserve">Jakie dokumenty potwierdzają okresy </w:t>
      </w:r>
      <w:proofErr w:type="spellStart"/>
      <w:r w:rsidRPr="005E76E0">
        <w:rPr>
          <w:rFonts w:ascii="Times New Roman" w:hAnsi="Times New Roman" w:cs="Times New Roman"/>
          <w:sz w:val="24"/>
          <w:szCs w:val="24"/>
        </w:rPr>
        <w:t>zaliczalne</w:t>
      </w:r>
      <w:proofErr w:type="spellEnd"/>
      <w:r w:rsidRPr="005E76E0">
        <w:rPr>
          <w:rFonts w:ascii="Times New Roman" w:hAnsi="Times New Roman" w:cs="Times New Roman"/>
          <w:sz w:val="24"/>
          <w:szCs w:val="24"/>
        </w:rPr>
        <w:t>?</w:t>
      </w:r>
    </w:p>
    <w:p w14:paraId="13EC34B1" w14:textId="77777777" w:rsidR="00FD4078" w:rsidRPr="005E76E0" w:rsidRDefault="00FD4078" w:rsidP="00FD4078">
      <w:pPr>
        <w:widowControl/>
        <w:numPr>
          <w:ilvl w:val="0"/>
          <w:numId w:val="42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Wpływ nowych zasad na dodatki stażowe, nagrody jubileuszowe i regulaminy wynagradzania.</w:t>
      </w:r>
    </w:p>
    <w:p w14:paraId="67AE2651" w14:textId="77777777" w:rsidR="00FD4078" w:rsidRPr="005E76E0" w:rsidRDefault="00FD4078" w:rsidP="00FD4078">
      <w:pPr>
        <w:widowControl/>
        <w:numPr>
          <w:ilvl w:val="0"/>
          <w:numId w:val="42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Jak przygotować informację o zmianie warunków zatrudnienia (art. 29 §3 KP)?</w:t>
      </w:r>
    </w:p>
    <w:p w14:paraId="1F00DE39" w14:textId="77777777" w:rsidR="00FD4078" w:rsidRPr="005E76E0" w:rsidRDefault="00FD4078" w:rsidP="00FD4078">
      <w:pPr>
        <w:rPr>
          <w:rFonts w:ascii="Times New Roman" w:hAnsi="Times New Roman" w:cs="Times New Roman"/>
          <w:sz w:val="24"/>
          <w:szCs w:val="24"/>
        </w:rPr>
      </w:pPr>
    </w:p>
    <w:p w14:paraId="7F5A00A7" w14:textId="77777777" w:rsidR="00FD4078" w:rsidRPr="005E76E0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76E0">
        <w:rPr>
          <w:rFonts w:ascii="Times New Roman" w:hAnsi="Times New Roman" w:cs="Times New Roman"/>
          <w:b/>
          <w:bCs/>
          <w:sz w:val="24"/>
          <w:szCs w:val="24"/>
        </w:rPr>
        <w:t>Wynagrodzenia i nowe obowiązki pracodawców</w:t>
      </w:r>
    </w:p>
    <w:p w14:paraId="3AD7FF9A" w14:textId="77777777" w:rsidR="00FD4078" w:rsidRPr="005E76E0" w:rsidRDefault="00FD4078" w:rsidP="00FD4078">
      <w:pPr>
        <w:widowControl/>
        <w:numPr>
          <w:ilvl w:val="0"/>
          <w:numId w:val="43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Minimalne wynagrodzenie – obowiązkowy element wynagrodzenia zasadniczego.</w:t>
      </w:r>
    </w:p>
    <w:p w14:paraId="0B759762" w14:textId="77777777" w:rsidR="00FD4078" w:rsidRPr="005E76E0" w:rsidRDefault="00FD4078" w:rsidP="00FD4078">
      <w:pPr>
        <w:widowControl/>
        <w:numPr>
          <w:ilvl w:val="0"/>
          <w:numId w:val="43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Konieczność aktualizacji umów o pracę i regulaminów wynagradzania.</w:t>
      </w:r>
    </w:p>
    <w:p w14:paraId="393D3550" w14:textId="77777777" w:rsidR="00FD4078" w:rsidRPr="005E76E0" w:rsidRDefault="00FD4078" w:rsidP="00FD4078">
      <w:pPr>
        <w:widowControl/>
        <w:numPr>
          <w:ilvl w:val="0"/>
          <w:numId w:val="43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Odsetki za nieterminową wypłatę wynagrodzeń oraz nowe sankcje za naruszenia.</w:t>
      </w:r>
    </w:p>
    <w:p w14:paraId="7C330611" w14:textId="77777777" w:rsidR="00FD4078" w:rsidRPr="005E76E0" w:rsidRDefault="00FD4078" w:rsidP="00FD4078">
      <w:pPr>
        <w:widowControl/>
        <w:numPr>
          <w:ilvl w:val="0"/>
          <w:numId w:val="43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Wynagrodzenie za nadgodziny, wyjścia prywatne i odrabianie czasu – nowe zasady rozliczania.</w:t>
      </w:r>
    </w:p>
    <w:p w14:paraId="4C7CA95E" w14:textId="77777777" w:rsidR="00FD4078" w:rsidRPr="005E76E0" w:rsidRDefault="00FD4078" w:rsidP="00FD4078">
      <w:pPr>
        <w:rPr>
          <w:rFonts w:ascii="Times New Roman" w:hAnsi="Times New Roman" w:cs="Times New Roman"/>
          <w:sz w:val="24"/>
          <w:szCs w:val="24"/>
        </w:rPr>
      </w:pPr>
    </w:p>
    <w:p w14:paraId="657A6A44" w14:textId="77777777" w:rsidR="00FD4078" w:rsidRPr="005E76E0" w:rsidRDefault="00FD4078" w:rsidP="00FD40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76E0">
        <w:rPr>
          <w:rFonts w:ascii="Times New Roman" w:hAnsi="Times New Roman" w:cs="Times New Roman"/>
          <w:b/>
          <w:bCs/>
          <w:sz w:val="24"/>
          <w:szCs w:val="24"/>
        </w:rPr>
        <w:t>3. Dokumentacja i komunikacja z pracownikami</w:t>
      </w:r>
    </w:p>
    <w:p w14:paraId="244B9ADB" w14:textId="77777777" w:rsidR="00FD4078" w:rsidRPr="005E76E0" w:rsidRDefault="00FD4078" w:rsidP="00FD4078">
      <w:pPr>
        <w:widowControl/>
        <w:numPr>
          <w:ilvl w:val="0"/>
          <w:numId w:val="44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Wnioski w formie papierowej i elektronicznej – nowe wymogi i zasady.</w:t>
      </w:r>
    </w:p>
    <w:p w14:paraId="03808979" w14:textId="77777777" w:rsidR="00FD4078" w:rsidRPr="005E76E0" w:rsidRDefault="00FD4078" w:rsidP="00FD4078">
      <w:pPr>
        <w:widowControl/>
        <w:numPr>
          <w:ilvl w:val="0"/>
          <w:numId w:val="44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Wnioski e-mailowe, prywatne adresy i ochrona danych osobowych.</w:t>
      </w:r>
    </w:p>
    <w:p w14:paraId="7B470CC6" w14:textId="6D18C6C3" w:rsidR="00FD4078" w:rsidRPr="00FD4078" w:rsidRDefault="00FD4078" w:rsidP="00FD4078">
      <w:pPr>
        <w:widowControl/>
        <w:numPr>
          <w:ilvl w:val="0"/>
          <w:numId w:val="44"/>
        </w:numPr>
        <w:suppressAutoHyphens w:val="0"/>
        <w:autoSpaceDN/>
        <w:spacing w:after="160"/>
        <w:textAlignment w:val="auto"/>
        <w:rPr>
          <w:rFonts w:ascii="Times New Roman" w:hAnsi="Times New Roman" w:cs="Times New Roman"/>
          <w:sz w:val="24"/>
          <w:szCs w:val="24"/>
        </w:rPr>
      </w:pPr>
      <w:r w:rsidRPr="005E76E0">
        <w:rPr>
          <w:rFonts w:ascii="Times New Roman" w:hAnsi="Times New Roman" w:cs="Times New Roman"/>
          <w:sz w:val="24"/>
          <w:szCs w:val="24"/>
        </w:rPr>
        <w:t>Zmiany w umowach o pracę i regulaminach w związku z nowymi formami komunikacji.</w:t>
      </w:r>
    </w:p>
    <w:p w14:paraId="676F6747" w14:textId="77777777" w:rsidR="00FE7E18" w:rsidRDefault="00FE7E18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086D62AE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365F5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7D11434"/>
    <w:multiLevelType w:val="multilevel"/>
    <w:tmpl w:val="A71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C317438"/>
    <w:multiLevelType w:val="multilevel"/>
    <w:tmpl w:val="CCD8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0F403DD7"/>
    <w:multiLevelType w:val="multilevel"/>
    <w:tmpl w:val="33BC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0302370"/>
    <w:multiLevelType w:val="multilevel"/>
    <w:tmpl w:val="8F94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BB36C8"/>
    <w:multiLevelType w:val="multilevel"/>
    <w:tmpl w:val="A1FA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83220E"/>
    <w:multiLevelType w:val="multilevel"/>
    <w:tmpl w:val="4A74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7D13BD"/>
    <w:multiLevelType w:val="multilevel"/>
    <w:tmpl w:val="E806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4E27F37"/>
    <w:multiLevelType w:val="multilevel"/>
    <w:tmpl w:val="7F0A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6C8598C"/>
    <w:multiLevelType w:val="multilevel"/>
    <w:tmpl w:val="581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7C71940"/>
    <w:multiLevelType w:val="multilevel"/>
    <w:tmpl w:val="A736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92E6A48"/>
    <w:multiLevelType w:val="multilevel"/>
    <w:tmpl w:val="36BA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AE5F05"/>
    <w:multiLevelType w:val="multilevel"/>
    <w:tmpl w:val="FA58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B950824"/>
    <w:multiLevelType w:val="multilevel"/>
    <w:tmpl w:val="EAF2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C2054E0"/>
    <w:multiLevelType w:val="multilevel"/>
    <w:tmpl w:val="9B1C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D215D80"/>
    <w:multiLevelType w:val="multilevel"/>
    <w:tmpl w:val="8478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483D06D2"/>
    <w:multiLevelType w:val="multilevel"/>
    <w:tmpl w:val="927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8E05A8"/>
    <w:multiLevelType w:val="multilevel"/>
    <w:tmpl w:val="6858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561CE8"/>
    <w:multiLevelType w:val="multilevel"/>
    <w:tmpl w:val="585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B79303B"/>
    <w:multiLevelType w:val="multilevel"/>
    <w:tmpl w:val="F4CE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714DA4"/>
    <w:multiLevelType w:val="multilevel"/>
    <w:tmpl w:val="C5CA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3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663524D"/>
    <w:multiLevelType w:val="multilevel"/>
    <w:tmpl w:val="446A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0" w15:restartNumberingAfterBreak="0">
    <w:nsid w:val="67027804"/>
    <w:multiLevelType w:val="multilevel"/>
    <w:tmpl w:val="11AE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F14DF8"/>
    <w:multiLevelType w:val="multilevel"/>
    <w:tmpl w:val="ED50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714A7B6D"/>
    <w:multiLevelType w:val="multilevel"/>
    <w:tmpl w:val="D282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5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6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 w15:restartNumberingAfterBreak="0">
    <w:nsid w:val="7D8B1819"/>
    <w:multiLevelType w:val="multilevel"/>
    <w:tmpl w:val="66B4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641310">
    <w:abstractNumId w:val="41"/>
  </w:num>
  <w:num w:numId="2" w16cid:durableId="1678653740">
    <w:abstractNumId w:val="25"/>
  </w:num>
  <w:num w:numId="3" w16cid:durableId="261382043">
    <w:abstractNumId w:val="43"/>
  </w:num>
  <w:num w:numId="4" w16cid:durableId="1520777818">
    <w:abstractNumId w:val="35"/>
  </w:num>
  <w:num w:numId="5" w16cid:durableId="1095517474">
    <w:abstractNumId w:val="27"/>
  </w:num>
  <w:num w:numId="6" w16cid:durableId="503279571">
    <w:abstractNumId w:val="52"/>
  </w:num>
  <w:num w:numId="7" w16cid:durableId="943683199">
    <w:abstractNumId w:val="48"/>
  </w:num>
  <w:num w:numId="8" w16cid:durableId="1685938094">
    <w:abstractNumId w:val="56"/>
  </w:num>
  <w:num w:numId="9" w16cid:durableId="1711299630">
    <w:abstractNumId w:val="49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4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47"/>
  </w:num>
  <w:num w:numId="17" w16cid:durableId="1045565260">
    <w:abstractNumId w:val="46"/>
  </w:num>
  <w:num w:numId="18" w16cid:durableId="134224124">
    <w:abstractNumId w:val="45"/>
  </w:num>
  <w:num w:numId="19" w16cid:durableId="1459493326">
    <w:abstractNumId w:val="55"/>
  </w:num>
  <w:num w:numId="20" w16cid:durableId="1829902598">
    <w:abstractNumId w:val="42"/>
  </w:num>
  <w:num w:numId="21" w16cid:durableId="1758211933">
    <w:abstractNumId w:val="1"/>
  </w:num>
  <w:num w:numId="22" w16cid:durableId="1355037294">
    <w:abstractNumId w:val="0"/>
  </w:num>
  <w:num w:numId="23" w16cid:durableId="230505322">
    <w:abstractNumId w:val="23"/>
  </w:num>
  <w:num w:numId="24" w16cid:durableId="489176066">
    <w:abstractNumId w:val="39"/>
  </w:num>
  <w:num w:numId="25" w16cid:durableId="16455">
    <w:abstractNumId w:val="34"/>
  </w:num>
  <w:num w:numId="26" w16cid:durableId="575821008">
    <w:abstractNumId w:val="57"/>
  </w:num>
  <w:num w:numId="27" w16cid:durableId="754938335">
    <w:abstractNumId w:val="26"/>
  </w:num>
  <w:num w:numId="28" w16cid:durableId="774205158">
    <w:abstractNumId w:val="29"/>
  </w:num>
  <w:num w:numId="29" w16cid:durableId="1317221648">
    <w:abstractNumId w:val="18"/>
  </w:num>
  <w:num w:numId="30" w16cid:durableId="1315837971">
    <w:abstractNumId w:val="50"/>
  </w:num>
  <w:num w:numId="31" w16cid:durableId="2088183535">
    <w:abstractNumId w:val="30"/>
  </w:num>
  <w:num w:numId="32" w16cid:durableId="594094236">
    <w:abstractNumId w:val="36"/>
  </w:num>
  <w:num w:numId="33" w16cid:durableId="1271737201">
    <w:abstractNumId w:val="24"/>
  </w:num>
  <w:num w:numId="34" w16cid:durableId="458960930">
    <w:abstractNumId w:val="40"/>
  </w:num>
  <w:num w:numId="35" w16cid:durableId="1702852962">
    <w:abstractNumId w:val="44"/>
  </w:num>
  <w:num w:numId="36" w16cid:durableId="2077705524">
    <w:abstractNumId w:val="53"/>
  </w:num>
  <w:num w:numId="37" w16cid:durableId="1386757128">
    <w:abstractNumId w:val="32"/>
  </w:num>
  <w:num w:numId="38" w16cid:durableId="1049455019">
    <w:abstractNumId w:val="31"/>
  </w:num>
  <w:num w:numId="39" w16cid:durableId="1144540572">
    <w:abstractNumId w:val="22"/>
  </w:num>
  <w:num w:numId="40" w16cid:durableId="202909523">
    <w:abstractNumId w:val="20"/>
  </w:num>
  <w:num w:numId="41" w16cid:durableId="1338727615">
    <w:abstractNumId w:val="38"/>
  </w:num>
  <w:num w:numId="42" w16cid:durableId="572861995">
    <w:abstractNumId w:val="51"/>
  </w:num>
  <w:num w:numId="43" w16cid:durableId="498427458">
    <w:abstractNumId w:val="15"/>
  </w:num>
  <w:num w:numId="44" w16cid:durableId="1222255721">
    <w:abstractNumId w:val="37"/>
  </w:num>
  <w:num w:numId="45" w16cid:durableId="936907527">
    <w:abstractNumId w:val="28"/>
  </w:num>
  <w:num w:numId="46" w16cid:durableId="321928276">
    <w:abstractNumId w:val="33"/>
  </w:num>
  <w:num w:numId="47" w16cid:durableId="416903237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0C49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57401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1E6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14548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26BE"/>
    <w:rsid w:val="002D4CCD"/>
    <w:rsid w:val="002D4E9F"/>
    <w:rsid w:val="002E36F8"/>
    <w:rsid w:val="002E785D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5465B"/>
    <w:rsid w:val="0036230F"/>
    <w:rsid w:val="00362D8D"/>
    <w:rsid w:val="00365F5A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1614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EB5"/>
    <w:rsid w:val="004C6FFC"/>
    <w:rsid w:val="004D0F20"/>
    <w:rsid w:val="004D19C6"/>
    <w:rsid w:val="004D6B5A"/>
    <w:rsid w:val="004D7D49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83B37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07F0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47D83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5A55"/>
    <w:rsid w:val="00726222"/>
    <w:rsid w:val="0072674F"/>
    <w:rsid w:val="007308A3"/>
    <w:rsid w:val="00733A24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A749D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3CCC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13A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B744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009D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5F9C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2A57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B782D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1DCD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4078"/>
    <w:rsid w:val="00FD5919"/>
    <w:rsid w:val="00FE17DF"/>
    <w:rsid w:val="00FE65F7"/>
    <w:rsid w:val="00FE7E18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890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791</cp:revision>
  <cp:lastPrinted>2019-04-30T11:10:00Z</cp:lastPrinted>
  <dcterms:created xsi:type="dcterms:W3CDTF">2022-08-12T10:48:00Z</dcterms:created>
  <dcterms:modified xsi:type="dcterms:W3CDTF">2026-07-17T11:16:00Z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