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68C0A27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DE7204">
        <w:rPr>
          <w:rFonts w:ascii="Times New Roman" w:hAnsi="Times New Roman"/>
          <w:b/>
          <w:bCs/>
          <w:color w:val="EE0000"/>
          <w:sz w:val="28"/>
          <w:szCs w:val="28"/>
        </w:rPr>
        <w:t>Zatrudnianie pracowników z niepełnosprawnościami w praktyce</w:t>
      </w:r>
    </w:p>
    <w:p w14:paraId="056E54C3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DE7204">
        <w:rPr>
          <w:rFonts w:ascii="Times New Roman" w:hAnsi="Times New Roman"/>
          <w:b/>
          <w:bCs/>
          <w:color w:val="EE0000"/>
          <w:sz w:val="28"/>
          <w:szCs w:val="28"/>
        </w:rPr>
        <w:t>PFRON – obowiązki pracodawcy, składki, dofinansowania i organizacja zatrudnienia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287"/>
        <w:gridCol w:w="1549"/>
        <w:gridCol w:w="1842"/>
        <w:gridCol w:w="2267"/>
      </w:tblGrid>
      <w:tr w:rsidR="006C629D" w:rsidRPr="006C629D" w14:paraId="60F446F5" w14:textId="77777777" w:rsidTr="000B78BF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3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51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0B78BF">
        <w:tc>
          <w:tcPr>
            <w:tcW w:w="1040" w:type="pct"/>
          </w:tcPr>
          <w:p w14:paraId="16531E3E" w14:textId="695A756B" w:rsidR="006C629D" w:rsidRPr="006E3C44" w:rsidRDefault="00AA422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32" w:type="pct"/>
          </w:tcPr>
          <w:p w14:paraId="7B8B6CA7" w14:textId="000287D9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66FEA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2ED43AC8" w14:textId="1F42304E" w:rsidR="006C629D" w:rsidRPr="006E3C44" w:rsidRDefault="000B78B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0B78BF">
        <w:tc>
          <w:tcPr>
            <w:tcW w:w="1040" w:type="pct"/>
          </w:tcPr>
          <w:p w14:paraId="098AE4A5" w14:textId="3202DA1E" w:rsidR="006C629D" w:rsidRPr="006E3C44" w:rsidRDefault="00461FA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AA4227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32" w:type="pct"/>
          </w:tcPr>
          <w:p w14:paraId="2D58141C" w14:textId="492F62DD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66FEA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27083EEE" w14:textId="6C061C49" w:rsidR="006C629D" w:rsidRPr="006E3C44" w:rsidRDefault="000B78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  <w:tr w:rsidR="006C629D" w:rsidRPr="006C629D" w14:paraId="522A21C1" w14:textId="77777777" w:rsidTr="000B78BF">
        <w:tc>
          <w:tcPr>
            <w:tcW w:w="1040" w:type="pct"/>
          </w:tcPr>
          <w:p w14:paraId="28F44729" w14:textId="317FF3AB" w:rsidR="006C629D" w:rsidRPr="006E3C44" w:rsidRDefault="00AA422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1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32" w:type="pct"/>
          </w:tcPr>
          <w:p w14:paraId="38EF1D05" w14:textId="5E9296BE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66FEA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48391D69" w14:textId="357493AA" w:rsidR="006C629D" w:rsidRPr="006E3C44" w:rsidRDefault="000B78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  <w:tr w:rsidR="006C629D" w:rsidRPr="006C629D" w14:paraId="7DE6D388" w14:textId="77777777" w:rsidTr="000B78BF">
        <w:tc>
          <w:tcPr>
            <w:tcW w:w="1040" w:type="pct"/>
          </w:tcPr>
          <w:p w14:paraId="0ED006FA" w14:textId="624673F6" w:rsidR="006C629D" w:rsidRPr="00366FEA" w:rsidRDefault="00366FE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366FEA">
              <w:rPr>
                <w:rFonts w:ascii="Times New Roman" w:hAnsi="Times New Roman" w:cs="Times New Roman"/>
                <w:b/>
              </w:rPr>
              <w:t>08.12.2026</w:t>
            </w:r>
          </w:p>
        </w:tc>
        <w:tc>
          <w:tcPr>
            <w:tcW w:w="191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496329544" w:edGrp="everyone"/>
            <w:permEnd w:id="496329544"/>
          </w:p>
        </w:tc>
        <w:tc>
          <w:tcPr>
            <w:tcW w:w="1032" w:type="pct"/>
          </w:tcPr>
          <w:p w14:paraId="21C58573" w14:textId="2688FD6E" w:rsidR="006C629D" w:rsidRPr="006C629D" w:rsidRDefault="00A17A8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0B3D9CDF" w14:textId="737A7AD8" w:rsidR="006C629D" w:rsidRPr="006C629D" w:rsidRDefault="00A17A8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319D62DF" w14:textId="5451BB45" w:rsidR="006C629D" w:rsidRPr="006C629D" w:rsidRDefault="000B78B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698236A1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AC4B71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5872F9AA" w14:textId="77777777" w:rsidR="000B78BF" w:rsidRDefault="00EF1667" w:rsidP="000B78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0B78BF">
        <w:rPr>
          <w:rFonts w:ascii="Times New Roman" w:hAnsi="Times New Roman" w:cs="Times New Roman"/>
          <w:b/>
          <w:color w:val="FF0000"/>
        </w:rPr>
        <w:t xml:space="preserve">Piotr Malinowski - </w:t>
      </w:r>
      <w:r w:rsidR="000B78BF">
        <w:rPr>
          <w:rFonts w:ascii="Times New Roman" w:hAnsi="Times New Roman" w:cs="Times New Roman"/>
        </w:rPr>
        <w:t>p</w:t>
      </w:r>
      <w:r w:rsidR="000B78BF" w:rsidRPr="00D860D7">
        <w:rPr>
          <w:rFonts w:ascii="Times New Roman" w:hAnsi="Times New Roman" w:cs="Times New Roman"/>
        </w:rPr>
        <w:t xml:space="preserve">rawnik, były inspektor Państwowej Inspekcji Pracy oraz uznany ekspert prawa pracy. Od lat szkoli pracodawców, kadry i menedżerów, przekazując praktyczną wiedzę opartą na doświadczeniu zdobytym podczas kontroli PIP i współpracy z największymi instytucjami oraz firmami w Polsce. </w:t>
      </w:r>
    </w:p>
    <w:p w14:paraId="488BDF39" w14:textId="3394A5EE" w:rsidR="00870A68" w:rsidRPr="006C629D" w:rsidRDefault="000B78BF" w:rsidP="000B78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5754A96" w14:textId="77777777" w:rsidR="000B78BF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</w:p>
    <w:p w14:paraId="5FBB464A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DE7204">
        <w:rPr>
          <w:rFonts w:ascii="Times New Roman" w:hAnsi="Times New Roman"/>
          <w:b/>
          <w:bCs/>
          <w:color w:val="EE0000"/>
          <w:sz w:val="28"/>
          <w:szCs w:val="28"/>
        </w:rPr>
        <w:t>Zatrudnianie pracowników z niepełnosprawnościami w praktyce</w:t>
      </w:r>
    </w:p>
    <w:p w14:paraId="2E847101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DE7204">
        <w:rPr>
          <w:rFonts w:ascii="Times New Roman" w:hAnsi="Times New Roman"/>
          <w:b/>
          <w:bCs/>
          <w:color w:val="EE0000"/>
          <w:sz w:val="28"/>
          <w:szCs w:val="28"/>
        </w:rPr>
        <w:t>PFRON – obowiązki pracodawcy, składki, dofinansowania i organizacja zatrudnienia</w:t>
      </w:r>
    </w:p>
    <w:p w14:paraId="29F01153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</w:p>
    <w:p w14:paraId="79D56E72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DE7204">
        <w:rPr>
          <w:rFonts w:ascii="Times New Roman" w:hAnsi="Times New Roman"/>
          <w:b/>
          <w:bCs/>
          <w:sz w:val="24"/>
          <w:szCs w:val="24"/>
        </w:rPr>
        <w:t>Cel szkolenia</w:t>
      </w:r>
    </w:p>
    <w:p w14:paraId="0BFB0EB1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>Praktyczne przygotowanie do prawidłowego zatrudniania pracowników z niepełnosprawnościami oraz korzystania z dostępnych form wsparcia PFRON zgodnie z obowiązującymi przepisami.</w:t>
      </w:r>
    </w:p>
    <w:p w14:paraId="396F58C5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DE7204">
        <w:rPr>
          <w:rFonts w:ascii="Times New Roman" w:hAnsi="Times New Roman"/>
          <w:b/>
          <w:bCs/>
          <w:sz w:val="24"/>
          <w:szCs w:val="24"/>
        </w:rPr>
        <w:t>Korzyści z udziału</w:t>
      </w:r>
    </w:p>
    <w:p w14:paraId="7FAD4771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>Dowiesz się, jak prawidłowo rozliczać składki na PFRON, korzystać z dofinansowań oraz stosować przepisy dotyczące czasu pracy, urlopów i organizacji zatrudnienia.</w:t>
      </w:r>
    </w:p>
    <w:p w14:paraId="359ABE00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DE7204">
        <w:rPr>
          <w:rFonts w:ascii="Times New Roman" w:hAnsi="Times New Roman"/>
          <w:b/>
          <w:bCs/>
          <w:sz w:val="24"/>
          <w:szCs w:val="24"/>
        </w:rPr>
        <w:t>Adresaci szkolenia</w:t>
      </w:r>
    </w:p>
    <w:p w14:paraId="0C77DAE6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>Pracownicy działów kadr, płac i HR, księgowi, pracodawcy, przedsiębiorcy oraz osoby odpowiedzialne za zatrudnianie pracowników z niepełnosprawnościami.</w:t>
      </w:r>
    </w:p>
    <w:p w14:paraId="6D15554F" w14:textId="77777777" w:rsidR="000B78BF" w:rsidRPr="00DE7204" w:rsidRDefault="000B78BF" w:rsidP="000B78BF">
      <w:pPr>
        <w:pStyle w:val="Akapitzlist"/>
        <w:tabs>
          <w:tab w:val="left" w:pos="0"/>
        </w:tabs>
        <w:spacing w:before="100" w:after="83"/>
        <w:rPr>
          <w:rFonts w:ascii="Times New Roman" w:hAnsi="Times New Roman"/>
          <w:sz w:val="24"/>
          <w:szCs w:val="24"/>
        </w:rPr>
      </w:pPr>
    </w:p>
    <w:p w14:paraId="6676BAE6" w14:textId="77777777" w:rsidR="000B78BF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</w:p>
    <w:p w14:paraId="73ECE57D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DE7204">
        <w:rPr>
          <w:rFonts w:ascii="Times New Roman" w:hAnsi="Times New Roman"/>
          <w:b/>
          <w:bCs/>
          <w:sz w:val="24"/>
          <w:szCs w:val="24"/>
        </w:rPr>
        <w:t>Moduł I. Zatrudnianie pracowników z niepełnosprawnościami – podstawy prawne</w:t>
      </w:r>
    </w:p>
    <w:p w14:paraId="622CE7BE" w14:textId="77777777" w:rsidR="000B78BF" w:rsidRPr="00DE7204" w:rsidRDefault="000B78BF" w:rsidP="000B78BF">
      <w:pPr>
        <w:pStyle w:val="Akapitzlist"/>
        <w:numPr>
          <w:ilvl w:val="0"/>
          <w:numId w:val="31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Orzeczenie o stopniu niepełnosprawności – najważniejsze zasady. </w:t>
      </w:r>
    </w:p>
    <w:p w14:paraId="6FC33D43" w14:textId="77777777" w:rsidR="000B78BF" w:rsidRPr="00DE7204" w:rsidRDefault="000B78BF" w:rsidP="000B78BF">
      <w:pPr>
        <w:pStyle w:val="Akapitzlist"/>
        <w:numPr>
          <w:ilvl w:val="0"/>
          <w:numId w:val="31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Niepełnosprawność a RODO i przetwarzanie danych osobowych. </w:t>
      </w:r>
    </w:p>
    <w:p w14:paraId="301219FE" w14:textId="77777777" w:rsidR="000B78BF" w:rsidRPr="00DE7204" w:rsidRDefault="000B78BF" w:rsidP="000B78BF">
      <w:pPr>
        <w:pStyle w:val="Akapitzlist"/>
        <w:numPr>
          <w:ilvl w:val="0"/>
          <w:numId w:val="31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Badania profilaktyczne i współpraca z lekarzem medycyny pracy. </w:t>
      </w:r>
    </w:p>
    <w:p w14:paraId="417BF96B" w14:textId="77777777" w:rsidR="000B78BF" w:rsidRPr="00DE7204" w:rsidRDefault="000B78BF" w:rsidP="000B78BF">
      <w:pPr>
        <w:pStyle w:val="Akapitzlist"/>
        <w:numPr>
          <w:ilvl w:val="0"/>
          <w:numId w:val="31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Rekrutacja i nawiązanie stosunku pracy – obowiązki pracodawcy. </w:t>
      </w:r>
    </w:p>
    <w:p w14:paraId="4C1C5709" w14:textId="77777777" w:rsidR="000B78BF" w:rsidRPr="00DE7204" w:rsidRDefault="000B78BF" w:rsidP="000B78BF">
      <w:pPr>
        <w:tabs>
          <w:tab w:val="left" w:pos="0"/>
        </w:tabs>
        <w:spacing w:before="100" w:after="83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43D3F3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DE7204">
        <w:rPr>
          <w:rFonts w:ascii="Times New Roman" w:hAnsi="Times New Roman"/>
          <w:b/>
          <w:bCs/>
          <w:sz w:val="24"/>
          <w:szCs w:val="24"/>
        </w:rPr>
        <w:t>Moduł II. Uprawnienia pracowników z niepełnosprawnościami</w:t>
      </w:r>
    </w:p>
    <w:p w14:paraId="23270FC2" w14:textId="77777777" w:rsidR="000B78BF" w:rsidRPr="00DE7204" w:rsidRDefault="000B78BF" w:rsidP="000B78BF">
      <w:pPr>
        <w:pStyle w:val="Akapitzlist"/>
        <w:numPr>
          <w:ilvl w:val="0"/>
          <w:numId w:val="32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Czas pracy pracownika z niepełnosprawnością. </w:t>
      </w:r>
    </w:p>
    <w:p w14:paraId="2C945055" w14:textId="77777777" w:rsidR="000B78BF" w:rsidRPr="00DE7204" w:rsidRDefault="000B78BF" w:rsidP="000B78BF">
      <w:pPr>
        <w:pStyle w:val="Akapitzlist"/>
        <w:numPr>
          <w:ilvl w:val="0"/>
          <w:numId w:val="32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Dodatkowe przerwy oraz zwolnienia od pracy. </w:t>
      </w:r>
    </w:p>
    <w:p w14:paraId="50DA91F6" w14:textId="77777777" w:rsidR="000B78BF" w:rsidRPr="00DE7204" w:rsidRDefault="000B78BF" w:rsidP="000B78BF">
      <w:pPr>
        <w:pStyle w:val="Akapitzlist"/>
        <w:numPr>
          <w:ilvl w:val="0"/>
          <w:numId w:val="32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Dodatkowy urlop wypoczynkowy – zasady nabywania prawa. </w:t>
      </w:r>
    </w:p>
    <w:p w14:paraId="6C1E7656" w14:textId="77777777" w:rsidR="000B78BF" w:rsidRPr="00DE7204" w:rsidRDefault="000B78BF" w:rsidP="000B78BF">
      <w:pPr>
        <w:pStyle w:val="Akapitzlist"/>
        <w:numPr>
          <w:ilvl w:val="0"/>
          <w:numId w:val="32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Pozostałe uprawnienia wynikające z przepisów. </w:t>
      </w:r>
    </w:p>
    <w:p w14:paraId="67AEB7A0" w14:textId="77777777" w:rsidR="000B78BF" w:rsidRPr="00DE7204" w:rsidRDefault="000B78BF" w:rsidP="000B78BF">
      <w:pPr>
        <w:pStyle w:val="Akapitzlist"/>
        <w:tabs>
          <w:tab w:val="left" w:pos="0"/>
        </w:tabs>
        <w:spacing w:before="100" w:after="83"/>
        <w:rPr>
          <w:rFonts w:ascii="Times New Roman" w:hAnsi="Times New Roman"/>
          <w:sz w:val="24"/>
          <w:szCs w:val="24"/>
        </w:rPr>
      </w:pPr>
    </w:p>
    <w:p w14:paraId="34C77507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DE7204">
        <w:rPr>
          <w:rFonts w:ascii="Times New Roman" w:hAnsi="Times New Roman"/>
          <w:b/>
          <w:bCs/>
          <w:sz w:val="24"/>
          <w:szCs w:val="24"/>
        </w:rPr>
        <w:t>Moduł III. BHP i organizacja stanowiska pracy</w:t>
      </w:r>
    </w:p>
    <w:p w14:paraId="62E169B4" w14:textId="77777777" w:rsidR="000B78BF" w:rsidRPr="00DE7204" w:rsidRDefault="000B78BF" w:rsidP="000B78BF">
      <w:pPr>
        <w:pStyle w:val="Akapitzlist"/>
        <w:numPr>
          <w:ilvl w:val="0"/>
          <w:numId w:val="33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Dostosowanie stanowiska pracy do potrzeb pracownika. </w:t>
      </w:r>
    </w:p>
    <w:p w14:paraId="7CA10843" w14:textId="77777777" w:rsidR="000B78BF" w:rsidRPr="00DE7204" w:rsidRDefault="000B78BF" w:rsidP="000B78BF">
      <w:pPr>
        <w:pStyle w:val="Akapitzlist"/>
        <w:numPr>
          <w:ilvl w:val="0"/>
          <w:numId w:val="33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Ocena ryzyka zawodowego. </w:t>
      </w:r>
    </w:p>
    <w:p w14:paraId="48C6E56E" w14:textId="77777777" w:rsidR="000B78BF" w:rsidRPr="00DE7204" w:rsidRDefault="000B78BF" w:rsidP="000B78BF">
      <w:pPr>
        <w:pStyle w:val="Akapitzlist"/>
        <w:numPr>
          <w:ilvl w:val="0"/>
          <w:numId w:val="33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Obowiązki pracodawcy w zakresie bezpiecznych warunków pracy. </w:t>
      </w:r>
    </w:p>
    <w:p w14:paraId="115C86CE" w14:textId="77777777" w:rsidR="000B78BF" w:rsidRPr="00DE7204" w:rsidRDefault="000B78BF" w:rsidP="000B78BF">
      <w:pPr>
        <w:pStyle w:val="Akapitzlist"/>
        <w:tabs>
          <w:tab w:val="left" w:pos="0"/>
        </w:tabs>
        <w:spacing w:before="100" w:after="83"/>
        <w:rPr>
          <w:rFonts w:ascii="Times New Roman" w:hAnsi="Times New Roman"/>
          <w:sz w:val="24"/>
          <w:szCs w:val="24"/>
        </w:rPr>
      </w:pPr>
    </w:p>
    <w:p w14:paraId="25AC3825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DE7204">
        <w:rPr>
          <w:rFonts w:ascii="Times New Roman" w:hAnsi="Times New Roman"/>
          <w:b/>
          <w:bCs/>
          <w:sz w:val="24"/>
          <w:szCs w:val="24"/>
        </w:rPr>
        <w:t>Moduł IV. PFRON – obowiązkowe wpłaty i rozliczenia</w:t>
      </w:r>
    </w:p>
    <w:p w14:paraId="5AF2BCD4" w14:textId="77777777" w:rsidR="000B78BF" w:rsidRPr="00DE7204" w:rsidRDefault="000B78BF" w:rsidP="000B78BF">
      <w:pPr>
        <w:pStyle w:val="Akapitzlist"/>
        <w:numPr>
          <w:ilvl w:val="0"/>
          <w:numId w:val="34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lastRenderedPageBreak/>
        <w:t xml:space="preserve">Kto podlega obowiązkowi wpłat na PFRON. </w:t>
      </w:r>
    </w:p>
    <w:p w14:paraId="2D43059B" w14:textId="77777777" w:rsidR="000B78BF" w:rsidRPr="00DE7204" w:rsidRDefault="000B78BF" w:rsidP="000B78BF">
      <w:pPr>
        <w:pStyle w:val="Akapitzlist"/>
        <w:numPr>
          <w:ilvl w:val="0"/>
          <w:numId w:val="34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Wskaźnik zatrudnienia osób z niepełnosprawnościami – zasady obliczania. </w:t>
      </w:r>
    </w:p>
    <w:p w14:paraId="7F3AD70F" w14:textId="77777777" w:rsidR="000B78BF" w:rsidRPr="00DE7204" w:rsidRDefault="000B78BF" w:rsidP="000B78BF">
      <w:pPr>
        <w:pStyle w:val="Akapitzlist"/>
        <w:numPr>
          <w:ilvl w:val="0"/>
          <w:numId w:val="34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Wyliczanie składki na PFRON – praktyczne przykłady. </w:t>
      </w:r>
    </w:p>
    <w:p w14:paraId="0F594CCB" w14:textId="77777777" w:rsidR="000B78BF" w:rsidRPr="00DE7204" w:rsidRDefault="000B78BF" w:rsidP="000B78BF">
      <w:pPr>
        <w:pStyle w:val="Akapitzlist"/>
        <w:numPr>
          <w:ilvl w:val="0"/>
          <w:numId w:val="34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Obniżanie obowiązkowych wpłat oraz dostępne zwolnienia. </w:t>
      </w:r>
    </w:p>
    <w:p w14:paraId="6FE3C26A" w14:textId="77777777" w:rsidR="000B78BF" w:rsidRPr="00DE7204" w:rsidRDefault="000B78BF" w:rsidP="000B78BF">
      <w:pPr>
        <w:pStyle w:val="Akapitzlist"/>
        <w:tabs>
          <w:tab w:val="left" w:pos="0"/>
        </w:tabs>
        <w:spacing w:before="100" w:after="83"/>
        <w:rPr>
          <w:rFonts w:ascii="Times New Roman" w:hAnsi="Times New Roman"/>
          <w:sz w:val="24"/>
          <w:szCs w:val="24"/>
        </w:rPr>
      </w:pPr>
    </w:p>
    <w:p w14:paraId="0FA63EF8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DE7204">
        <w:rPr>
          <w:rFonts w:ascii="Times New Roman" w:hAnsi="Times New Roman"/>
          <w:b/>
          <w:bCs/>
          <w:sz w:val="24"/>
          <w:szCs w:val="24"/>
        </w:rPr>
        <w:t>Moduł V. Dofinansowania i pomoc z PFRON</w:t>
      </w:r>
    </w:p>
    <w:p w14:paraId="77CA5747" w14:textId="77777777" w:rsidR="000B78BF" w:rsidRPr="00DE7204" w:rsidRDefault="000B78BF" w:rsidP="000B78BF">
      <w:pPr>
        <w:pStyle w:val="Akapitzlist"/>
        <w:numPr>
          <w:ilvl w:val="0"/>
          <w:numId w:val="35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Dofinansowanie do wynagrodzeń pracowników z niepełnosprawnościami – aktualne zasady i stawki. </w:t>
      </w:r>
    </w:p>
    <w:p w14:paraId="28833EEC" w14:textId="77777777" w:rsidR="000B78BF" w:rsidRPr="00DE7204" w:rsidRDefault="000B78BF" w:rsidP="000B78BF">
      <w:pPr>
        <w:pStyle w:val="Akapitzlist"/>
        <w:numPr>
          <w:ilvl w:val="0"/>
          <w:numId w:val="35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Efekt zachęty – kiedy można otrzymać dofinansowanie. </w:t>
      </w:r>
    </w:p>
    <w:p w14:paraId="4E11AE96" w14:textId="77777777" w:rsidR="000B78BF" w:rsidRPr="00DE7204" w:rsidRDefault="000B78BF" w:rsidP="000B78BF">
      <w:pPr>
        <w:pStyle w:val="Akapitzlist"/>
        <w:numPr>
          <w:ilvl w:val="0"/>
          <w:numId w:val="35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Refundacja kosztów wyposażenia stanowiska pracy. </w:t>
      </w:r>
    </w:p>
    <w:p w14:paraId="17639BF1" w14:textId="77777777" w:rsidR="000B78BF" w:rsidRPr="00DE7204" w:rsidRDefault="000B78BF" w:rsidP="000B78BF">
      <w:pPr>
        <w:pStyle w:val="Akapitzlist"/>
        <w:numPr>
          <w:ilvl w:val="0"/>
          <w:numId w:val="35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 xml:space="preserve">Dofinansowanie zakupu maszyn i urządzeń. </w:t>
      </w:r>
    </w:p>
    <w:p w14:paraId="63623228" w14:textId="77777777" w:rsidR="000B78BF" w:rsidRPr="00DE7204" w:rsidRDefault="000B78BF" w:rsidP="000B78BF">
      <w:pPr>
        <w:pStyle w:val="Akapitzlist"/>
        <w:numPr>
          <w:ilvl w:val="0"/>
          <w:numId w:val="35"/>
        </w:numPr>
        <w:tabs>
          <w:tab w:val="left" w:pos="0"/>
        </w:tabs>
        <w:spacing w:after="83" w:line="247" w:lineRule="auto"/>
        <w:rPr>
          <w:rFonts w:ascii="Times New Roman" w:hAnsi="Times New Roman"/>
          <w:sz w:val="24"/>
          <w:szCs w:val="24"/>
        </w:rPr>
      </w:pPr>
      <w:r w:rsidRPr="00DE7204">
        <w:rPr>
          <w:rFonts w:ascii="Times New Roman" w:hAnsi="Times New Roman"/>
          <w:sz w:val="24"/>
          <w:szCs w:val="24"/>
        </w:rPr>
        <w:t>Pozostałe formy wsparcia oferowane przez PFRON.</w:t>
      </w:r>
    </w:p>
    <w:p w14:paraId="492B1EEB" w14:textId="77777777" w:rsidR="000B78BF" w:rsidRPr="00DE7204" w:rsidRDefault="000B78BF" w:rsidP="000B78BF">
      <w:pPr>
        <w:pStyle w:val="Akapitzlist"/>
        <w:tabs>
          <w:tab w:val="left" w:pos="0"/>
        </w:tabs>
        <w:spacing w:before="100" w:after="83" w:line="240" w:lineRule="auto"/>
        <w:ind w:left="0"/>
        <w:rPr>
          <w:rFonts w:ascii="Times New Roman" w:hAnsi="Times New Roman"/>
          <w:sz w:val="24"/>
          <w:szCs w:val="24"/>
        </w:rPr>
      </w:pPr>
    </w:p>
    <w:p w14:paraId="0C21E94B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6A8C646F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408A3E0F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298123BE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20489221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6E61E501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2EC8C402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0FBB82B1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3133F75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2504D889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D4898D4" w14:textId="64762F63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E1092C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712FAD"/>
    <w:multiLevelType w:val="multilevel"/>
    <w:tmpl w:val="972A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36D971B8"/>
    <w:multiLevelType w:val="multilevel"/>
    <w:tmpl w:val="C7C6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42201DE"/>
    <w:multiLevelType w:val="multilevel"/>
    <w:tmpl w:val="8638A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5437F5"/>
    <w:multiLevelType w:val="multilevel"/>
    <w:tmpl w:val="D7D0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28713B"/>
    <w:multiLevelType w:val="multilevel"/>
    <w:tmpl w:val="8E5C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3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6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7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9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1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5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1"/>
  </w:num>
  <w:num w:numId="2" w16cid:durableId="1678653740">
    <w:abstractNumId w:val="22"/>
  </w:num>
  <w:num w:numId="3" w16cid:durableId="261382043">
    <w:abstractNumId w:val="33"/>
  </w:num>
  <w:num w:numId="4" w16cid:durableId="1520777818">
    <w:abstractNumId w:val="25"/>
  </w:num>
  <w:num w:numId="5" w16cid:durableId="1095517474">
    <w:abstractNumId w:val="23"/>
  </w:num>
  <w:num w:numId="6" w16cid:durableId="503279571">
    <w:abstractNumId w:val="41"/>
  </w:num>
  <w:num w:numId="7" w16cid:durableId="943683199">
    <w:abstractNumId w:val="39"/>
  </w:num>
  <w:num w:numId="8" w16cid:durableId="1685938094">
    <w:abstractNumId w:val="45"/>
  </w:num>
  <w:num w:numId="9" w16cid:durableId="1711299630">
    <w:abstractNumId w:val="40"/>
  </w:num>
  <w:num w:numId="10" w16cid:durableId="608320993">
    <w:abstractNumId w:val="17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43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38"/>
  </w:num>
  <w:num w:numId="17" w16cid:durableId="1045565260">
    <w:abstractNumId w:val="36"/>
  </w:num>
  <w:num w:numId="18" w16cid:durableId="134224124">
    <w:abstractNumId w:val="35"/>
  </w:num>
  <w:num w:numId="19" w16cid:durableId="1459493326">
    <w:abstractNumId w:val="44"/>
  </w:num>
  <w:num w:numId="20" w16cid:durableId="1829902598">
    <w:abstractNumId w:val="32"/>
  </w:num>
  <w:num w:numId="21" w16cid:durableId="1149709086">
    <w:abstractNumId w:val="27"/>
  </w:num>
  <w:num w:numId="22" w16cid:durableId="662661966">
    <w:abstractNumId w:val="30"/>
  </w:num>
  <w:num w:numId="23" w16cid:durableId="1399590505">
    <w:abstractNumId w:val="37"/>
  </w:num>
  <w:num w:numId="24" w16cid:durableId="2038696968">
    <w:abstractNumId w:val="18"/>
  </w:num>
  <w:num w:numId="25" w16cid:durableId="755516937">
    <w:abstractNumId w:val="34"/>
  </w:num>
  <w:num w:numId="26" w16cid:durableId="1818523141">
    <w:abstractNumId w:val="19"/>
  </w:num>
  <w:num w:numId="27" w16cid:durableId="638463559">
    <w:abstractNumId w:val="42"/>
  </w:num>
  <w:num w:numId="28" w16cid:durableId="1468863311">
    <w:abstractNumId w:val="20"/>
  </w:num>
  <w:num w:numId="29" w16cid:durableId="1758211933">
    <w:abstractNumId w:val="1"/>
  </w:num>
  <w:num w:numId="30" w16cid:durableId="1355037294">
    <w:abstractNumId w:val="0"/>
  </w:num>
  <w:num w:numId="31" w16cid:durableId="736362917">
    <w:abstractNumId w:val="26"/>
  </w:num>
  <w:num w:numId="32" w16cid:durableId="1931312924">
    <w:abstractNumId w:val="28"/>
  </w:num>
  <w:num w:numId="33" w16cid:durableId="1074470248">
    <w:abstractNumId w:val="21"/>
  </w:num>
  <w:num w:numId="34" w16cid:durableId="255405403">
    <w:abstractNumId w:val="29"/>
  </w:num>
  <w:num w:numId="35" w16cid:durableId="1541816297">
    <w:abstractNumId w:val="2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ffxC72ZEyOdCvezg5K5A6z6l3v7s/yShKIqm617TWOmlG6tpS4DrZQwS9tZlw8Txjn8zNvPzCuQ2vW7bua6PrA==" w:salt="etvV9jXNLTlM3tm0idBSh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B78BF"/>
    <w:rsid w:val="000C0093"/>
    <w:rsid w:val="000C5963"/>
    <w:rsid w:val="000C5F56"/>
    <w:rsid w:val="000D3206"/>
    <w:rsid w:val="000D5F31"/>
    <w:rsid w:val="000D6A69"/>
    <w:rsid w:val="000D7915"/>
    <w:rsid w:val="000E5984"/>
    <w:rsid w:val="000E799B"/>
    <w:rsid w:val="000F783C"/>
    <w:rsid w:val="00100F72"/>
    <w:rsid w:val="00102564"/>
    <w:rsid w:val="00111385"/>
    <w:rsid w:val="00121EA9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57D2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6FEA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1FAB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7A8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227"/>
    <w:rsid w:val="00AA4CB4"/>
    <w:rsid w:val="00AA4CC9"/>
    <w:rsid w:val="00AA6369"/>
    <w:rsid w:val="00AB5F39"/>
    <w:rsid w:val="00AB667D"/>
    <w:rsid w:val="00AC1779"/>
    <w:rsid w:val="00AC4B71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3</Pages>
  <Words>844</Words>
  <Characters>5070</Characters>
  <Application>Microsoft Office Word</Application>
  <DocSecurity>8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776</cp:revision>
  <cp:lastPrinted>2019-04-30T11:10:00Z</cp:lastPrinted>
  <dcterms:created xsi:type="dcterms:W3CDTF">2022-08-12T10:48:00Z</dcterms:created>
  <dcterms:modified xsi:type="dcterms:W3CDTF">2026-07-15T11:15:00Z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