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F0DB1" w14:textId="22A90BF7" w:rsidR="006C629D" w:rsidRDefault="006C629D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2CB5F16" w14:textId="77777777" w:rsidR="0035465B" w:rsidRDefault="0035465B" w:rsidP="002E785D">
      <w:pPr>
        <w:spacing w:line="360" w:lineRule="auto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4B92BA9C" w14:textId="5F0CA7D3" w:rsidR="00457653" w:rsidRDefault="00457653" w:rsidP="00457653">
      <w:pPr>
        <w:spacing w:after="120" w:line="360" w:lineRule="auto"/>
        <w:jc w:val="center"/>
        <w:rPr>
          <w:rFonts w:ascii="Times New Roman" w:hAnsi="Times New Roman" w:cs="Times New Roman"/>
          <w:b/>
          <w:bCs/>
          <w:iCs/>
          <w:color w:val="EE0000"/>
          <w:sz w:val="28"/>
          <w:szCs w:val="28"/>
        </w:rPr>
      </w:pPr>
      <w:r w:rsidRPr="004901D5">
        <w:rPr>
          <w:rFonts w:ascii="Times New Roman" w:hAnsi="Times New Roman" w:cs="Times New Roman"/>
          <w:b/>
          <w:bCs/>
          <w:iCs/>
          <w:color w:val="EE0000"/>
          <w:sz w:val="28"/>
          <w:szCs w:val="28"/>
        </w:rPr>
        <w:t xml:space="preserve">Stosunek pracy pracowników samorządowych – praktyka, dokumentacja </w:t>
      </w:r>
      <w:r>
        <w:rPr>
          <w:rFonts w:ascii="Times New Roman" w:hAnsi="Times New Roman" w:cs="Times New Roman"/>
          <w:b/>
          <w:bCs/>
          <w:iCs/>
          <w:color w:val="EE0000"/>
          <w:sz w:val="28"/>
          <w:szCs w:val="28"/>
        </w:rPr>
        <w:br/>
      </w:r>
      <w:r w:rsidRPr="004901D5">
        <w:rPr>
          <w:rFonts w:ascii="Times New Roman" w:hAnsi="Times New Roman" w:cs="Times New Roman"/>
          <w:b/>
          <w:bCs/>
          <w:iCs/>
          <w:color w:val="EE0000"/>
          <w:sz w:val="28"/>
          <w:szCs w:val="28"/>
        </w:rPr>
        <w:t>i najnowsze zmiany</w:t>
      </w:r>
    </w:p>
    <w:tbl>
      <w:tblPr>
        <w:tblStyle w:val="Tabela-Siatka"/>
        <w:tblpPr w:leftFromText="141" w:rightFromText="141" w:vertAnchor="text" w:horzAnchor="page" w:tblpX="277" w:tblpY="356"/>
        <w:tblW w:w="35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287"/>
        <w:gridCol w:w="1408"/>
        <w:gridCol w:w="1986"/>
        <w:gridCol w:w="2264"/>
      </w:tblGrid>
      <w:tr w:rsidR="006C629D" w:rsidRPr="006C629D" w14:paraId="60F446F5" w14:textId="77777777" w:rsidTr="0058286C">
        <w:trPr>
          <w:trHeight w:val="274"/>
        </w:trPr>
        <w:tc>
          <w:tcPr>
            <w:tcW w:w="104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93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323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509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58286C">
        <w:tc>
          <w:tcPr>
            <w:tcW w:w="1040" w:type="pct"/>
          </w:tcPr>
          <w:p w14:paraId="16531E3E" w14:textId="375B8D33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</w:t>
            </w:r>
            <w:r w:rsidR="003C48E7">
              <w:rPr>
                <w:rFonts w:ascii="Times New Roman" w:hAnsi="Times New Roman" w:cs="Times New Roman"/>
                <w:b/>
              </w:rPr>
              <w:t>8</w:t>
            </w:r>
            <w:r w:rsidRPr="006E3C44">
              <w:rPr>
                <w:rFonts w:ascii="Times New Roman" w:hAnsi="Times New Roman" w:cs="Times New Roman"/>
                <w:b/>
              </w:rPr>
              <w:t>.0</w:t>
            </w:r>
            <w:r w:rsidR="003C48E7">
              <w:rPr>
                <w:rFonts w:ascii="Times New Roman" w:hAnsi="Times New Roman" w:cs="Times New Roman"/>
                <w:b/>
              </w:rPr>
              <w:t>9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938" w:type="pct"/>
          </w:tcPr>
          <w:p w14:paraId="7B8B6CA7" w14:textId="3673B556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36CF5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323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09" w:type="pct"/>
            <w:tcBorders>
              <w:right w:val="single" w:sz="4" w:space="0" w:color="auto"/>
            </w:tcBorders>
          </w:tcPr>
          <w:p w14:paraId="2ED43AC8" w14:textId="1F445657" w:rsidR="006C629D" w:rsidRPr="006E3C44" w:rsidRDefault="0058286C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58286C">
              <w:rPr>
                <w:rFonts w:ascii="Times New Roman" w:hAnsi="Times New Roman" w:cs="Times New Roman"/>
                <w:b/>
              </w:rPr>
              <w:t>Ekspert PIP/ praktyk z prawa pracy</w:t>
            </w:r>
          </w:p>
        </w:tc>
      </w:tr>
      <w:tr w:rsidR="006C629D" w:rsidRPr="006C629D" w14:paraId="0262F241" w14:textId="77777777" w:rsidTr="0058286C">
        <w:tc>
          <w:tcPr>
            <w:tcW w:w="1040" w:type="pct"/>
          </w:tcPr>
          <w:p w14:paraId="098AE4A5" w14:textId="29D0121D" w:rsidR="006C629D" w:rsidRPr="006E3C44" w:rsidRDefault="003C48E7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10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1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938" w:type="pct"/>
          </w:tcPr>
          <w:p w14:paraId="2D58141C" w14:textId="7A9C03B5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36CF5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323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09" w:type="pct"/>
            <w:tcBorders>
              <w:right w:val="single" w:sz="4" w:space="0" w:color="auto"/>
            </w:tcBorders>
          </w:tcPr>
          <w:p w14:paraId="27083EEE" w14:textId="44847047" w:rsidR="006C629D" w:rsidRPr="006E3C44" w:rsidRDefault="0058286C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58286C">
              <w:rPr>
                <w:rFonts w:ascii="Times New Roman" w:hAnsi="Times New Roman" w:cs="Times New Roman"/>
                <w:b/>
              </w:rPr>
              <w:t>Ekspert PIP/ praktyk z prawa pracy</w:t>
            </w:r>
          </w:p>
        </w:tc>
      </w:tr>
      <w:tr w:rsidR="006C629D" w:rsidRPr="006C629D" w14:paraId="522A21C1" w14:textId="77777777" w:rsidTr="0058286C">
        <w:tc>
          <w:tcPr>
            <w:tcW w:w="1040" w:type="pct"/>
          </w:tcPr>
          <w:p w14:paraId="28F44729" w14:textId="2CF022F3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0</w:t>
            </w:r>
            <w:r w:rsidR="003C48E7">
              <w:rPr>
                <w:rFonts w:ascii="Times New Roman" w:hAnsi="Times New Roman" w:cs="Times New Roman"/>
                <w:b/>
              </w:rPr>
              <w:t>5</w:t>
            </w:r>
            <w:r w:rsidRPr="006E3C44">
              <w:rPr>
                <w:rFonts w:ascii="Times New Roman" w:hAnsi="Times New Roman" w:cs="Times New Roman"/>
                <w:b/>
              </w:rPr>
              <w:t>.</w:t>
            </w:r>
            <w:r w:rsidR="003C48E7">
              <w:rPr>
                <w:rFonts w:ascii="Times New Roman" w:hAnsi="Times New Roman" w:cs="Times New Roman"/>
                <w:b/>
              </w:rPr>
              <w:t>11</w:t>
            </w:r>
            <w:r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1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938" w:type="pct"/>
          </w:tcPr>
          <w:p w14:paraId="38EF1D05" w14:textId="1C760DC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336CF5">
              <w:rPr>
                <w:rFonts w:ascii="Times New Roman" w:hAnsi="Times New Roman" w:cs="Times New Roman"/>
                <w:b/>
              </w:rPr>
              <w:t>4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323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509" w:type="pct"/>
            <w:tcBorders>
              <w:right w:val="single" w:sz="4" w:space="0" w:color="auto"/>
            </w:tcBorders>
          </w:tcPr>
          <w:p w14:paraId="48391D69" w14:textId="34D2D8B7" w:rsidR="006C629D" w:rsidRPr="006E3C44" w:rsidRDefault="0058286C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58286C">
              <w:rPr>
                <w:rFonts w:ascii="Times New Roman" w:hAnsi="Times New Roman" w:cs="Times New Roman"/>
                <w:b/>
              </w:rPr>
              <w:t>Ekspert PIP/ praktyk z prawa pracy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0D3B305F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1656A2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D2903A" w14:textId="5CDC5F45" w:rsidR="00D23E3C" w:rsidRDefault="00EF1667" w:rsidP="00D23E3C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58286C">
        <w:rPr>
          <w:rFonts w:ascii="Times New Roman" w:hAnsi="Times New Roman" w:cs="Times New Roman"/>
        </w:rPr>
        <w:t>prawnik, wieloletni pracownik państwowej instytucji kontrolnej oraz doświadczony praktyk prawa pracy. Specjalizuje się w zagadnieniach związanych z czasem pracy, mobbingiem i dyskryminacją, nawiązywaniem, zmianą i rozwiązywaniem stosunku pracy. Ceniony wykładowca, autor licznych opinii prawnych i publikacji z zakresu prawa pracy</w:t>
      </w:r>
    </w:p>
    <w:p w14:paraId="488BDF39" w14:textId="4AFAF634" w:rsidR="00870A68" w:rsidRPr="001B5119" w:rsidRDefault="00D23E3C" w:rsidP="001B511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               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6CA4E9A" w14:textId="77777777" w:rsidR="00724B2F" w:rsidRDefault="00724B2F" w:rsidP="00D35437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115A0A99" w14:textId="77777777" w:rsidR="00724B2F" w:rsidRDefault="00724B2F" w:rsidP="00D35437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0F12F540" w14:textId="46597159" w:rsidR="00724B2F" w:rsidRDefault="00724B2F" w:rsidP="00724B2F">
      <w:pPr>
        <w:spacing w:after="120" w:line="360" w:lineRule="auto"/>
        <w:jc w:val="center"/>
        <w:rPr>
          <w:rFonts w:ascii="Times New Roman" w:hAnsi="Times New Roman" w:cs="Times New Roman"/>
          <w:b/>
          <w:bCs/>
          <w:iCs/>
          <w:color w:val="EE0000"/>
          <w:sz w:val="28"/>
          <w:szCs w:val="28"/>
        </w:rPr>
      </w:pPr>
      <w:r w:rsidRPr="004901D5">
        <w:rPr>
          <w:rFonts w:ascii="Times New Roman" w:hAnsi="Times New Roman" w:cs="Times New Roman"/>
          <w:b/>
          <w:bCs/>
          <w:iCs/>
          <w:color w:val="EE0000"/>
          <w:sz w:val="28"/>
          <w:szCs w:val="28"/>
        </w:rPr>
        <w:t xml:space="preserve">Stosunek pracy pracowników samorządowych – praktyka, dokumentacja </w:t>
      </w:r>
      <w:r>
        <w:rPr>
          <w:rFonts w:ascii="Times New Roman" w:hAnsi="Times New Roman" w:cs="Times New Roman"/>
          <w:b/>
          <w:bCs/>
          <w:iCs/>
          <w:color w:val="EE0000"/>
          <w:sz w:val="28"/>
          <w:szCs w:val="28"/>
        </w:rPr>
        <w:br/>
      </w:r>
      <w:r w:rsidRPr="004901D5">
        <w:rPr>
          <w:rFonts w:ascii="Times New Roman" w:hAnsi="Times New Roman" w:cs="Times New Roman"/>
          <w:b/>
          <w:bCs/>
          <w:iCs/>
          <w:color w:val="EE0000"/>
          <w:sz w:val="28"/>
          <w:szCs w:val="28"/>
        </w:rPr>
        <w:t>i najnowsze zmiany</w:t>
      </w:r>
    </w:p>
    <w:p w14:paraId="655740A2" w14:textId="77777777" w:rsidR="00724B2F" w:rsidRPr="00B20C7F" w:rsidRDefault="00724B2F" w:rsidP="00724B2F">
      <w:pPr>
        <w:spacing w:after="120" w:line="36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5F578361" w14:textId="77777777" w:rsidR="00724B2F" w:rsidRPr="00B20C7F" w:rsidRDefault="00724B2F" w:rsidP="00724B2F">
      <w:pPr>
        <w:pBdr>
          <w:left w:val="single" w:sz="24" w:space="8" w:color="1F4E79"/>
        </w:pBd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20C7F">
        <w:rPr>
          <w:rFonts w:ascii="Times New Roman" w:hAnsi="Times New Roman" w:cs="Times New Roman"/>
          <w:b/>
          <w:sz w:val="24"/>
          <w:szCs w:val="24"/>
        </w:rPr>
        <w:t>1. Podstawy ustrojowe i klasyfikacja w prawie samorządowym</w:t>
      </w:r>
    </w:p>
    <w:p w14:paraId="3B581C18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Zakres stosowania ustawy: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Granice podmiotowe i przedmiotowe ustawy o pracownikach samorządowych, specyfika pracodawcy samorządowego oraz status spółek samorządowych.</w:t>
      </w:r>
    </w:p>
    <w:p w14:paraId="3E3AA839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Klasyfikacja kadry: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Podział pracowników samorządowych ze względu na status (urzędnicy, w tym stanowiska urzędnicze kierownicze, pracownicy pomocniczy i obsługi).</w:t>
      </w:r>
    </w:p>
    <w:p w14:paraId="6B5474F0" w14:textId="77777777" w:rsidR="00724B2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Zmiany terytorialne: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Wpływ i konsekwencje przekształceń w podziale terytorialnym państwa na sytuację prawną i ciągłość zatrudnienia pracowników.</w:t>
      </w:r>
    </w:p>
    <w:p w14:paraId="2216FA0D" w14:textId="77777777" w:rsidR="00724B2F" w:rsidRPr="00B20C7F" w:rsidRDefault="00724B2F" w:rsidP="00724B2F">
      <w:pPr>
        <w:pStyle w:val="Listapunktowana"/>
        <w:widowControl w:val="0"/>
        <w:numPr>
          <w:ilvl w:val="0"/>
          <w:numId w:val="0"/>
        </w:numPr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</w:p>
    <w:p w14:paraId="668376B3" w14:textId="77777777" w:rsidR="00724B2F" w:rsidRPr="00B20C7F" w:rsidRDefault="00724B2F" w:rsidP="00724B2F">
      <w:pPr>
        <w:pBdr>
          <w:left w:val="single" w:sz="24" w:space="8" w:color="1F4E79"/>
        </w:pBd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20C7F">
        <w:rPr>
          <w:rFonts w:ascii="Times New Roman" w:hAnsi="Times New Roman" w:cs="Times New Roman"/>
          <w:b/>
          <w:sz w:val="24"/>
          <w:szCs w:val="24"/>
        </w:rPr>
        <w:t>2. Rekrutacja, nawiązanie i rygory selekcyjne stosunku pracy</w:t>
      </w:r>
    </w:p>
    <w:p w14:paraId="5C6D90C9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>Procedura naboru na stanowiska urzędnicze:</w:t>
      </w:r>
    </w:p>
    <w:p w14:paraId="72584E1A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Pojęcie, zasady i prawny zakres obowiązku stosowania otwartego naboru.</w:t>
      </w:r>
    </w:p>
    <w:p w14:paraId="40B9288B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Praktyczne etapy naboru: od przygotowania rekrutacji i publikacji ogłoszenia do metod selekcji kandydatów.</w:t>
      </w:r>
    </w:p>
    <w:p w14:paraId="1A5521F5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Wprowadzenie do pracy: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Organizacja i zasady przeprowadzania służby przygotowawczej dla nowo zatrudnionych pracowników.</w:t>
      </w:r>
    </w:p>
    <w:p w14:paraId="4F047617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Podstawy zatrudnienia w samorządzie: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Praktyczne aspekty nawiązywania stosunku pracy na podstawie umowy o pracę, wyboru oraz powołania.</w:t>
      </w:r>
    </w:p>
    <w:p w14:paraId="79333222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Alternatywne formy zatrudnienia: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Dopuszczalność, granice i ryzyka zawierania umów cywilnoprawnych (zlecenie, dzieło) w jednostkach samorządowych.</w:t>
      </w:r>
    </w:p>
    <w:p w14:paraId="3C174421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>Rygory i kryteria selekcyjne:</w:t>
      </w:r>
    </w:p>
    <w:p w14:paraId="639D708A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 xml:space="preserve">Weryfikacja wymogów formalnych: obywatelstwo, pełna zdolność do czynności prawnych, </w:t>
      </w: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niekaralność oraz posiadanie niezbędnych kwalifikacji.</w:t>
      </w:r>
    </w:p>
    <w:p w14:paraId="29F35412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Kryteria ocenne: wym wymóg nieposzlakowanej opinii oraz ustawowa zasada apolityczności sekretarza.</w:t>
      </w:r>
    </w:p>
    <w:p w14:paraId="76ED0CA1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Skutki prawne następczego stwierdzenia niespełniania rygorów selekcyjnych przez pracownika.</w:t>
      </w:r>
    </w:p>
    <w:p w14:paraId="7F0A715F" w14:textId="77777777" w:rsidR="00724B2F" w:rsidRPr="00B20C7F" w:rsidRDefault="00724B2F" w:rsidP="00724B2F">
      <w:pPr>
        <w:pStyle w:val="Listapunktowana"/>
        <w:widowControl w:val="0"/>
        <w:numPr>
          <w:ilvl w:val="0"/>
          <w:numId w:val="0"/>
        </w:numPr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</w:p>
    <w:p w14:paraId="4EAC5780" w14:textId="77777777" w:rsidR="00724B2F" w:rsidRPr="00B20C7F" w:rsidRDefault="00724B2F" w:rsidP="00724B2F">
      <w:pPr>
        <w:pBdr>
          <w:left w:val="single" w:sz="24" w:space="8" w:color="1F4E79"/>
        </w:pBd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20C7F">
        <w:rPr>
          <w:rFonts w:ascii="Times New Roman" w:hAnsi="Times New Roman" w:cs="Times New Roman"/>
          <w:b/>
          <w:sz w:val="24"/>
          <w:szCs w:val="24"/>
        </w:rPr>
        <w:t>3. Modyfikacje i zawieszenie stosunku pracy (Ruch służbowy)</w:t>
      </w:r>
    </w:p>
    <w:p w14:paraId="44A5AB6E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>Wewnętrzne i zewnętrzne zmiany stanowiska:</w:t>
      </w:r>
    </w:p>
    <w:p w14:paraId="22AE8450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Procedura awansu wewnętrznego (art. 20 u.p.s.).</w:t>
      </w:r>
    </w:p>
    <w:p w14:paraId="1C16B360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Czasowe powierzenie innej pracy (art. 21 u.p.s.) oraz stałe przeniesienie na inne stanowisko (art. 23 u.p.s.).</w:t>
      </w:r>
    </w:p>
    <w:p w14:paraId="2DEC3A33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Instytucja przeniesienia pracownika do innej jednostki samorządowej (art. 22 u.p.s.).</w:t>
      </w:r>
    </w:p>
    <w:p w14:paraId="5A818593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Jednostronne zmiany warunków: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Stosowanie wypowiedzenia zmieniającego w praktyce samorządowej.</w:t>
      </w:r>
    </w:p>
    <w:p w14:paraId="35EE4A72" w14:textId="77777777" w:rsidR="00724B2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Tymczasowe aresztowanie pracownika: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Skutki prawne i zasady zawieszenia stosunku pracy w przypadku tymczasowego aresztowania pracownika.</w:t>
      </w:r>
    </w:p>
    <w:p w14:paraId="11AABC6D" w14:textId="77777777" w:rsidR="00724B2F" w:rsidRPr="0046765D" w:rsidRDefault="00724B2F" w:rsidP="00724B2F">
      <w:pPr>
        <w:pStyle w:val="Listapunktowana"/>
        <w:widowControl w:val="0"/>
        <w:numPr>
          <w:ilvl w:val="0"/>
          <w:numId w:val="0"/>
        </w:numPr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</w:p>
    <w:p w14:paraId="5E0B603C" w14:textId="77777777" w:rsidR="00724B2F" w:rsidRPr="00B20C7F" w:rsidRDefault="00724B2F" w:rsidP="00724B2F">
      <w:pPr>
        <w:pBdr>
          <w:left w:val="single" w:sz="24" w:space="8" w:color="1F4E79"/>
        </w:pBd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20C7F">
        <w:rPr>
          <w:rFonts w:ascii="Times New Roman" w:hAnsi="Times New Roman" w:cs="Times New Roman"/>
          <w:b/>
          <w:sz w:val="24"/>
          <w:szCs w:val="24"/>
        </w:rPr>
        <w:t>4. Ustanie stosunku pracy w administracji samorządowej</w:t>
      </w:r>
    </w:p>
    <w:p w14:paraId="7577D84D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Rozwiązanie stosunku pracy na tle kodeksowym i ustawowym: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Tryb i zasady rozwiązywania umów o pracę za wypowiedzeniem.</w:t>
      </w:r>
    </w:p>
    <w:p w14:paraId="11B20181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Rozwiązanie umowy bez wypowiedzenia: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Przyczyny zawinione (tryb dyscyplinarny) oraz niezawinione (długotrwała absencja).</w:t>
      </w:r>
    </w:p>
    <w:p w14:paraId="74F06B55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>Obligatoryjne ustanie zatrudnienia:</w:t>
      </w:r>
    </w:p>
    <w:p w14:paraId="465281EE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Konsekwencje prawomocnego skazania za umyślne przestępstwo ścigane z oskarżenia publicznego lub umyślne przestępstwo skarbowe.</w:t>
      </w:r>
    </w:p>
    <w:p w14:paraId="664F7095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Przesłanki i tryb wygaśnięcia umowy o pracę z mocy prawa.</w:t>
      </w:r>
    </w:p>
    <w:p w14:paraId="109EFE44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Specyfika ustania stosunku pracy z wyboru i powołania:</w:t>
      </w:r>
    </w:p>
    <w:p w14:paraId="3E8D2D07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Zasady zakończenia pracy z wyboru, ze szczególnym uwzględnieniem wyboru na kolejną kadencję (ekwiwalent za urlop, świadectwo pracy, informacja o warunkach zatrudnienia).</w:t>
      </w:r>
    </w:p>
    <w:p w14:paraId="49053378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Odwołanie ze stanowiska jako podstawa ustania stosunku pracy z powołania (analiza statusu zastępcy wójta/burmistrza/prezydenta oraz skarbnika).</w:t>
      </w:r>
    </w:p>
    <w:p w14:paraId="679458D6" w14:textId="77777777" w:rsidR="00724B2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Przekształcenia ustrojowe: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Wpływ utworzenia nowej jednostki samorządu terytorialnego na ustanie stosunku pracy.</w:t>
      </w:r>
    </w:p>
    <w:p w14:paraId="4120E634" w14:textId="77777777" w:rsidR="00724B2F" w:rsidRPr="00B20C7F" w:rsidRDefault="00724B2F" w:rsidP="00724B2F">
      <w:pPr>
        <w:pStyle w:val="Listapunktowana"/>
        <w:widowControl w:val="0"/>
        <w:numPr>
          <w:ilvl w:val="0"/>
          <w:numId w:val="0"/>
        </w:numPr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</w:p>
    <w:p w14:paraId="262C3847" w14:textId="77777777" w:rsidR="00724B2F" w:rsidRPr="00B20C7F" w:rsidRDefault="00724B2F" w:rsidP="00724B2F">
      <w:pPr>
        <w:pBdr>
          <w:left w:val="single" w:sz="24" w:space="8" w:color="1F4E79"/>
        </w:pBd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20C7F">
        <w:rPr>
          <w:rFonts w:ascii="Times New Roman" w:hAnsi="Times New Roman" w:cs="Times New Roman"/>
          <w:b/>
          <w:sz w:val="24"/>
          <w:szCs w:val="24"/>
        </w:rPr>
        <w:t>5. System wynagradzania, dodatki i uprawnienia pracownicze</w:t>
      </w:r>
    </w:p>
    <w:p w14:paraId="0977B80A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>Konstrukcja wynagrodzenia:</w:t>
      </w:r>
    </w:p>
    <w:p w14:paraId="50DC0C9B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Struktura płacowa: zasady ustalania wynagrodzenia zasadniczego.</w:t>
      </w:r>
    </w:p>
    <w:p w14:paraId="24DC8042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Obligatoryjne dodatki: dodatek stażowy, funkcyjny oraz nagroda jubileuszowa.</w:t>
      </w:r>
    </w:p>
    <w:p w14:paraId="3A3137AC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Dodatki specjalne: specyfika dodatku dla organów wykonawczych (art. 36 ust. 3 u.p.s.) oraz dodatku z tytułu okresowego zwiększenia obowiązków (art. 36 ust. 5 u.p.s.).</w:t>
      </w:r>
    </w:p>
    <w:p w14:paraId="0D319735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Pozostałe składniki: wynagrodzenie prowizyjne w egzekucji administracyjnej oraz dodatkowe wynagrodzenie roczne (tzw. trzynastka).</w:t>
      </w:r>
    </w:p>
    <w:p w14:paraId="428277F0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Inne świadczenia pracownicze: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Zasady przyznawania nagród uznaniowych, odpraw emerytalno-rentowych, odpraw z tytułu upływu kadencji oraz rozliczanie podróży służbowych.</w:t>
      </w:r>
    </w:p>
    <w:p w14:paraId="2240080F" w14:textId="77777777" w:rsidR="00724B2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Zbiorowe prawo pracy: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Uprawnienia i rola związków zawodowych w samorządzie terytorialnym.</w:t>
      </w:r>
    </w:p>
    <w:p w14:paraId="0D81E113" w14:textId="77777777" w:rsidR="00724B2F" w:rsidRPr="00B20C7F" w:rsidRDefault="00724B2F" w:rsidP="00724B2F">
      <w:pPr>
        <w:pStyle w:val="Listapunktowana"/>
        <w:widowControl w:val="0"/>
        <w:numPr>
          <w:ilvl w:val="0"/>
          <w:numId w:val="0"/>
        </w:numPr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</w:p>
    <w:p w14:paraId="4AA43D2A" w14:textId="77777777" w:rsidR="00724B2F" w:rsidRPr="00B20C7F" w:rsidRDefault="00724B2F" w:rsidP="00724B2F">
      <w:pPr>
        <w:pBdr>
          <w:left w:val="single" w:sz="24" w:space="8" w:color="1F4E79"/>
        </w:pBd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20C7F">
        <w:rPr>
          <w:rFonts w:ascii="Times New Roman" w:hAnsi="Times New Roman" w:cs="Times New Roman"/>
          <w:b/>
          <w:sz w:val="24"/>
          <w:szCs w:val="24"/>
        </w:rPr>
        <w:t>6. Obowiązki, etyka urzędnicza i ograniczenia antykorupcyjne</w:t>
      </w:r>
    </w:p>
    <w:p w14:paraId="19CB54FE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Kluczowe obowiązki pracownicze: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Sumienne, sprawne i bezstronne wykonywanie zadań oraz realizacja poleceń przełożonych.</w:t>
      </w:r>
    </w:p>
    <w:p w14:paraId="28885ADC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Czas pracy w samorządzie: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Przestrzeganie, ewidencjonowanie i rozliczanie czasu pracy urzędników.</w:t>
      </w:r>
    </w:p>
    <w:p w14:paraId="12126172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Podnoszenie jakości kadry i wizerunek urzędu: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Obwgzek stałego podnoszenia kwalifikacji oraz obligatoryjna procedura ocen okresowych pracowników samorządowych.</w:t>
      </w:r>
    </w:p>
    <w:p w14:paraId="66311CBE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>Ograniczenia antykorupcyjne i sfery prywatnej:</w:t>
      </w:r>
    </w:p>
    <w:p w14:paraId="0528860F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lastRenderedPageBreak/>
        <w:t>Zakaz wykonywania zajęć sprzecznych z obowiązkami ustawowymi.</w:t>
      </w:r>
    </w:p>
    <w:p w14:paraId="7EABA98A" w14:textId="77777777" w:rsidR="00724B2F" w:rsidRPr="00FA2E3C" w:rsidRDefault="00724B2F" w:rsidP="00724B2F">
      <w:pPr>
        <w:pStyle w:val="Listapunktowana"/>
        <w:widowControl w:val="0"/>
        <w:suppressAutoHyphens/>
        <w:spacing w:line="360" w:lineRule="auto"/>
        <w:ind w:left="720"/>
        <w:contextualSpacing w:val="0"/>
        <w:rPr>
          <w:rFonts w:ascii="Times New Roman" w:hAnsi="Times New Roman" w:cs="Times New Roman"/>
          <w:bCs/>
          <w:sz w:val="24"/>
          <w:szCs w:val="24"/>
          <w:lang w:val="pl-PL"/>
        </w:rPr>
      </w:pPr>
      <w:r w:rsidRPr="00FA2E3C">
        <w:rPr>
          <w:rFonts w:ascii="Times New Roman" w:hAnsi="Times New Roman" w:cs="Times New Roman"/>
          <w:bCs/>
          <w:sz w:val="24"/>
          <w:szCs w:val="24"/>
          <w:lang w:val="pl-PL"/>
        </w:rPr>
        <w:t>Obowiązek składania oświadczeń o prowadzeniu działalności gospodarczej oraz oświadczeń majątkowych (analiza formalna).</w:t>
      </w:r>
    </w:p>
    <w:p w14:paraId="1A9406E6" w14:textId="77777777" w:rsidR="00724B2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Antynepotyzm:</w:t>
      </w: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Ustawowy zakaz podległości służbowej między osobami bliskimi w urzędzie.</w:t>
      </w:r>
    </w:p>
    <w:p w14:paraId="3BD97175" w14:textId="77777777" w:rsidR="00724B2F" w:rsidRPr="00B20C7F" w:rsidRDefault="00724B2F" w:rsidP="00724B2F">
      <w:pPr>
        <w:pStyle w:val="Listapunktowana"/>
        <w:widowControl w:val="0"/>
        <w:numPr>
          <w:ilvl w:val="0"/>
          <w:numId w:val="0"/>
        </w:numPr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</w:p>
    <w:p w14:paraId="1FE26F6C" w14:textId="77777777" w:rsidR="00724B2F" w:rsidRPr="00B20C7F" w:rsidRDefault="00724B2F" w:rsidP="00724B2F">
      <w:pPr>
        <w:pBdr>
          <w:left w:val="single" w:sz="24" w:space="8" w:color="1F4E79"/>
        </w:pBd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B20C7F">
        <w:rPr>
          <w:rFonts w:ascii="Times New Roman" w:hAnsi="Times New Roman" w:cs="Times New Roman"/>
          <w:b/>
          <w:sz w:val="24"/>
          <w:szCs w:val="24"/>
        </w:rPr>
        <w:t>7. Wielopłaszczyznowa odpowiedzialność pracownika samorządowego</w:t>
      </w:r>
    </w:p>
    <w:p w14:paraId="4CD93483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Odpowiedzialność pracownicza: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Zasady nakładania kar w ramach odpowiedzialności porządkowej oraz zasady odpowiedzialności materialnej pracowników.</w:t>
      </w:r>
    </w:p>
    <w:p w14:paraId="43C05ADC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Odpowiedzialność za decyzje administracyjne: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Konsekwencje rażącego naruszenia prawa przy wydawaniu decyzji.</w:t>
      </w:r>
    </w:p>
    <w:p w14:paraId="456A7886" w14:textId="77777777" w:rsidR="00724B2F" w:rsidRPr="00B20C7F" w:rsidRDefault="00724B2F" w:rsidP="00724B2F">
      <w:pPr>
        <w:pStyle w:val="Listapunktowana"/>
        <w:widowControl w:val="0"/>
        <w:suppressAutoHyphens/>
        <w:spacing w:line="360" w:lineRule="auto"/>
        <w:contextualSpacing w:val="0"/>
        <w:rPr>
          <w:rFonts w:ascii="Times New Roman" w:hAnsi="Times New Roman" w:cs="Times New Roman"/>
          <w:sz w:val="24"/>
          <w:szCs w:val="24"/>
          <w:lang w:val="pl-PL"/>
        </w:rPr>
      </w:pPr>
      <w:r w:rsidRPr="00B20C7F">
        <w:rPr>
          <w:rFonts w:ascii="Times New Roman" w:hAnsi="Times New Roman" w:cs="Times New Roman"/>
          <w:b/>
          <w:sz w:val="24"/>
          <w:szCs w:val="24"/>
          <w:lang w:val="pl-PL"/>
        </w:rPr>
        <w:t xml:space="preserve">Odpowiedzialność finansowo-karna: </w:t>
      </w:r>
      <w:r w:rsidRPr="00B20C7F">
        <w:rPr>
          <w:rFonts w:ascii="Times New Roman" w:hAnsi="Times New Roman" w:cs="Times New Roman"/>
          <w:sz w:val="24"/>
          <w:szCs w:val="24"/>
          <w:lang w:val="pl-PL"/>
        </w:rPr>
        <w:t>Ryzyka i zasady odpowiedzialności za naruszenie dyscypliny finansów publicznych oraz odpowiedzialność karna urzędników za przestępstwa urzędnicze.</w:t>
      </w:r>
    </w:p>
    <w:p w14:paraId="209E74EA" w14:textId="77777777" w:rsidR="00724B2F" w:rsidRPr="00B20C7F" w:rsidRDefault="00724B2F" w:rsidP="00724B2F">
      <w:pPr>
        <w:rPr>
          <w:rFonts w:ascii="Times New Roman" w:hAnsi="Times New Roman" w:cs="Times New Roman"/>
          <w:sz w:val="24"/>
          <w:szCs w:val="24"/>
        </w:rPr>
      </w:pPr>
    </w:p>
    <w:p w14:paraId="4EF1F405" w14:textId="77777777" w:rsidR="00724B2F" w:rsidRDefault="00724B2F" w:rsidP="00D35437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6B082F91" w14:textId="77777777" w:rsidR="00724B2F" w:rsidRDefault="00724B2F" w:rsidP="00D35437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42854E20" w14:textId="77777777" w:rsidR="00724B2F" w:rsidRDefault="00724B2F" w:rsidP="00D35437">
      <w:pPr>
        <w:spacing w:after="0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</w:p>
    <w:p w14:paraId="1D4898D4" w14:textId="3415C723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1656A2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5" w15:restartNumberingAfterBreak="0">
    <w:nsid w:val="07D11434"/>
    <w:multiLevelType w:val="multilevel"/>
    <w:tmpl w:val="A71C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C317438"/>
    <w:multiLevelType w:val="multilevel"/>
    <w:tmpl w:val="CCD8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0F403DD7"/>
    <w:multiLevelType w:val="multilevel"/>
    <w:tmpl w:val="33BC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0302370"/>
    <w:multiLevelType w:val="multilevel"/>
    <w:tmpl w:val="8F94B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6BB36C8"/>
    <w:multiLevelType w:val="multilevel"/>
    <w:tmpl w:val="A1FA8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F83220E"/>
    <w:multiLevelType w:val="multilevel"/>
    <w:tmpl w:val="4A74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07D13BD"/>
    <w:multiLevelType w:val="multilevel"/>
    <w:tmpl w:val="E806C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34E27F37"/>
    <w:multiLevelType w:val="multilevel"/>
    <w:tmpl w:val="7F0A0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36C8598C"/>
    <w:multiLevelType w:val="multilevel"/>
    <w:tmpl w:val="5814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7C71940"/>
    <w:multiLevelType w:val="multilevel"/>
    <w:tmpl w:val="A7366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92E6A48"/>
    <w:multiLevelType w:val="multilevel"/>
    <w:tmpl w:val="36BAF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AAE5F05"/>
    <w:multiLevelType w:val="multilevel"/>
    <w:tmpl w:val="FA58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B950824"/>
    <w:multiLevelType w:val="multilevel"/>
    <w:tmpl w:val="EAF2C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C2054E0"/>
    <w:multiLevelType w:val="multilevel"/>
    <w:tmpl w:val="9B1C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D215D80"/>
    <w:multiLevelType w:val="multilevel"/>
    <w:tmpl w:val="84786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483D06D2"/>
    <w:multiLevelType w:val="multilevel"/>
    <w:tmpl w:val="927AB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98E05A8"/>
    <w:multiLevelType w:val="multilevel"/>
    <w:tmpl w:val="68588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A561CE8"/>
    <w:multiLevelType w:val="multilevel"/>
    <w:tmpl w:val="5852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B79303B"/>
    <w:multiLevelType w:val="multilevel"/>
    <w:tmpl w:val="F4CE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0714DA4"/>
    <w:multiLevelType w:val="multilevel"/>
    <w:tmpl w:val="C5CA8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2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3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5663524D"/>
    <w:multiLevelType w:val="multilevel"/>
    <w:tmpl w:val="446A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6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7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50" w15:restartNumberingAfterBreak="0">
    <w:nsid w:val="67027804"/>
    <w:multiLevelType w:val="multilevel"/>
    <w:tmpl w:val="11AE8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7F14DF8"/>
    <w:multiLevelType w:val="multilevel"/>
    <w:tmpl w:val="ED50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714A7B6D"/>
    <w:multiLevelType w:val="multilevel"/>
    <w:tmpl w:val="D282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5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6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7" w15:restartNumberingAfterBreak="0">
    <w:nsid w:val="7D8B1819"/>
    <w:multiLevelType w:val="multilevel"/>
    <w:tmpl w:val="66B4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9641310">
    <w:abstractNumId w:val="41"/>
  </w:num>
  <w:num w:numId="2" w16cid:durableId="1678653740">
    <w:abstractNumId w:val="25"/>
  </w:num>
  <w:num w:numId="3" w16cid:durableId="261382043">
    <w:abstractNumId w:val="43"/>
  </w:num>
  <w:num w:numId="4" w16cid:durableId="1520777818">
    <w:abstractNumId w:val="35"/>
  </w:num>
  <w:num w:numId="5" w16cid:durableId="1095517474">
    <w:abstractNumId w:val="27"/>
  </w:num>
  <w:num w:numId="6" w16cid:durableId="503279571">
    <w:abstractNumId w:val="52"/>
  </w:num>
  <w:num w:numId="7" w16cid:durableId="943683199">
    <w:abstractNumId w:val="48"/>
  </w:num>
  <w:num w:numId="8" w16cid:durableId="1685938094">
    <w:abstractNumId w:val="56"/>
  </w:num>
  <w:num w:numId="9" w16cid:durableId="1711299630">
    <w:abstractNumId w:val="49"/>
  </w:num>
  <w:num w:numId="10" w16cid:durableId="608320993">
    <w:abstractNumId w:val="19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54"/>
  </w:num>
  <w:num w:numId="14" w16cid:durableId="1121219971">
    <w:abstractNumId w:val="16"/>
  </w:num>
  <w:num w:numId="15" w16cid:durableId="1788354766">
    <w:abstractNumId w:val="14"/>
  </w:num>
  <w:num w:numId="16" w16cid:durableId="172575507">
    <w:abstractNumId w:val="47"/>
  </w:num>
  <w:num w:numId="17" w16cid:durableId="1045565260">
    <w:abstractNumId w:val="46"/>
  </w:num>
  <w:num w:numId="18" w16cid:durableId="134224124">
    <w:abstractNumId w:val="45"/>
  </w:num>
  <w:num w:numId="19" w16cid:durableId="1459493326">
    <w:abstractNumId w:val="55"/>
  </w:num>
  <w:num w:numId="20" w16cid:durableId="1829902598">
    <w:abstractNumId w:val="42"/>
  </w:num>
  <w:num w:numId="21" w16cid:durableId="1758211933">
    <w:abstractNumId w:val="1"/>
  </w:num>
  <w:num w:numId="22" w16cid:durableId="1355037294">
    <w:abstractNumId w:val="0"/>
  </w:num>
  <w:num w:numId="23" w16cid:durableId="230505322">
    <w:abstractNumId w:val="23"/>
  </w:num>
  <w:num w:numId="24" w16cid:durableId="489176066">
    <w:abstractNumId w:val="39"/>
  </w:num>
  <w:num w:numId="25" w16cid:durableId="16455">
    <w:abstractNumId w:val="34"/>
  </w:num>
  <w:num w:numId="26" w16cid:durableId="575821008">
    <w:abstractNumId w:val="57"/>
  </w:num>
  <w:num w:numId="27" w16cid:durableId="754938335">
    <w:abstractNumId w:val="26"/>
  </w:num>
  <w:num w:numId="28" w16cid:durableId="774205158">
    <w:abstractNumId w:val="29"/>
  </w:num>
  <w:num w:numId="29" w16cid:durableId="1317221648">
    <w:abstractNumId w:val="18"/>
  </w:num>
  <w:num w:numId="30" w16cid:durableId="1315837971">
    <w:abstractNumId w:val="50"/>
  </w:num>
  <w:num w:numId="31" w16cid:durableId="2088183535">
    <w:abstractNumId w:val="30"/>
  </w:num>
  <w:num w:numId="32" w16cid:durableId="594094236">
    <w:abstractNumId w:val="36"/>
  </w:num>
  <w:num w:numId="33" w16cid:durableId="1271737201">
    <w:abstractNumId w:val="24"/>
  </w:num>
  <w:num w:numId="34" w16cid:durableId="458960930">
    <w:abstractNumId w:val="40"/>
  </w:num>
  <w:num w:numId="35" w16cid:durableId="1702852962">
    <w:abstractNumId w:val="44"/>
  </w:num>
  <w:num w:numId="36" w16cid:durableId="2077705524">
    <w:abstractNumId w:val="53"/>
  </w:num>
  <w:num w:numId="37" w16cid:durableId="1386757128">
    <w:abstractNumId w:val="32"/>
  </w:num>
  <w:num w:numId="38" w16cid:durableId="1049455019">
    <w:abstractNumId w:val="31"/>
  </w:num>
  <w:num w:numId="39" w16cid:durableId="1144540572">
    <w:abstractNumId w:val="22"/>
  </w:num>
  <w:num w:numId="40" w16cid:durableId="202909523">
    <w:abstractNumId w:val="20"/>
  </w:num>
  <w:num w:numId="41" w16cid:durableId="1338727615">
    <w:abstractNumId w:val="38"/>
  </w:num>
  <w:num w:numId="42" w16cid:durableId="572861995">
    <w:abstractNumId w:val="51"/>
  </w:num>
  <w:num w:numId="43" w16cid:durableId="498427458">
    <w:abstractNumId w:val="15"/>
  </w:num>
  <w:num w:numId="44" w16cid:durableId="1222255721">
    <w:abstractNumId w:val="37"/>
  </w:num>
  <w:num w:numId="45" w16cid:durableId="936907527">
    <w:abstractNumId w:val="28"/>
  </w:num>
  <w:num w:numId="46" w16cid:durableId="321928276">
    <w:abstractNumId w:val="33"/>
  </w:num>
  <w:num w:numId="47" w16cid:durableId="416903237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formatting="1" w:enforcement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0C49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57401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51E6"/>
    <w:rsid w:val="001656A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119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14548"/>
    <w:rsid w:val="002203D9"/>
    <w:rsid w:val="00224F22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E785D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36CF5"/>
    <w:rsid w:val="00342E37"/>
    <w:rsid w:val="00346232"/>
    <w:rsid w:val="00353D9C"/>
    <w:rsid w:val="0035408E"/>
    <w:rsid w:val="0035465B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C48E7"/>
    <w:rsid w:val="003D1614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57653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802AF"/>
    <w:rsid w:val="00580879"/>
    <w:rsid w:val="0058097C"/>
    <w:rsid w:val="0058286C"/>
    <w:rsid w:val="00583B37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452B"/>
    <w:rsid w:val="006178F2"/>
    <w:rsid w:val="00617BB9"/>
    <w:rsid w:val="006206D9"/>
    <w:rsid w:val="00621A1B"/>
    <w:rsid w:val="00622081"/>
    <w:rsid w:val="00625BB7"/>
    <w:rsid w:val="006261B7"/>
    <w:rsid w:val="006307F0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47D83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4B2F"/>
    <w:rsid w:val="00725388"/>
    <w:rsid w:val="00725A55"/>
    <w:rsid w:val="00726222"/>
    <w:rsid w:val="0072674F"/>
    <w:rsid w:val="007308A3"/>
    <w:rsid w:val="00733A24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A749D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3CCC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13A9"/>
    <w:rsid w:val="009069C4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B744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4CC7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5F9C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C00215"/>
    <w:rsid w:val="00C0493C"/>
    <w:rsid w:val="00C05DB7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2A57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34BB"/>
    <w:rsid w:val="00D23752"/>
    <w:rsid w:val="00D23E3C"/>
    <w:rsid w:val="00D35437"/>
    <w:rsid w:val="00D41A1B"/>
    <w:rsid w:val="00D43F7C"/>
    <w:rsid w:val="00D44D9C"/>
    <w:rsid w:val="00D4609B"/>
    <w:rsid w:val="00D463E0"/>
    <w:rsid w:val="00D47952"/>
    <w:rsid w:val="00D5578A"/>
    <w:rsid w:val="00D55E3E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1D2B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4078"/>
    <w:rsid w:val="00FD5919"/>
    <w:rsid w:val="00FE17DF"/>
    <w:rsid w:val="00FE65F7"/>
    <w:rsid w:val="00FE7E18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1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22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5</Pages>
  <Words>1298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833</cp:revision>
  <cp:lastPrinted>2019-04-30T11:10:00Z</cp:lastPrinted>
  <dcterms:created xsi:type="dcterms:W3CDTF">2022-08-12T10:48:00Z</dcterms:created>
  <dcterms:modified xsi:type="dcterms:W3CDTF">2026-07-17T08:38:00Z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