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544AB" w14:textId="77777777" w:rsidR="00580D92" w:rsidRDefault="00580D92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135AA5B3" w14:textId="77777777" w:rsidR="00580D92" w:rsidRDefault="00580D92" w:rsidP="00647D83">
      <w:pPr>
        <w:autoSpaceDN/>
        <w:spacing w:after="120" w:line="360" w:lineRule="auto"/>
        <w:jc w:val="center"/>
        <w:textAlignment w:val="auto"/>
        <w:rPr>
          <w:rFonts w:ascii="Times New Roman" w:eastAsiaTheme="minorHAnsi" w:hAnsi="Times New Roman" w:cs="Times New Roman"/>
          <w:b/>
          <w:bCs/>
          <w:iCs/>
          <w:color w:val="EE0000"/>
          <w:kern w:val="0"/>
          <w:sz w:val="28"/>
          <w:szCs w:val="28"/>
        </w:rPr>
      </w:pPr>
    </w:p>
    <w:p w14:paraId="19CABD4C" w14:textId="77777777" w:rsidR="007A2CDA" w:rsidRPr="007A2CDA" w:rsidRDefault="007A2CDA" w:rsidP="007A2CDA">
      <w:pPr>
        <w:autoSpaceDN/>
        <w:spacing w:after="120" w:line="360" w:lineRule="auto"/>
        <w:jc w:val="center"/>
        <w:textAlignment w:val="auto"/>
        <w:rPr>
          <w:rFonts w:ascii="Times New Roman" w:eastAsiaTheme="minorHAnsi" w:hAnsi="Times New Roman" w:cs="Times New Roman"/>
          <w:b/>
          <w:bCs/>
          <w:iCs/>
          <w:color w:val="EE0000"/>
          <w:kern w:val="0"/>
          <w:sz w:val="28"/>
          <w:szCs w:val="28"/>
        </w:rPr>
      </w:pPr>
      <w:r w:rsidRPr="007A2CDA">
        <w:rPr>
          <w:rFonts w:ascii="Times New Roman" w:eastAsiaTheme="minorHAnsi" w:hAnsi="Times New Roman" w:cs="Times New Roman"/>
          <w:b/>
          <w:bCs/>
          <w:iCs/>
          <w:color w:val="EE0000"/>
          <w:kern w:val="0"/>
          <w:sz w:val="28"/>
          <w:szCs w:val="28"/>
        </w:rPr>
        <w:t>Karta nauczyciela w praktyce i dokumentacji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483F0796" w:rsidR="006C629D" w:rsidRPr="006E3C44" w:rsidRDefault="00BC52D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2B276F1C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7A2CDA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0ECB9142" w:rsidR="006C629D" w:rsidRPr="006E3C44" w:rsidRDefault="00647D83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65B91889" w:rsidR="006C629D" w:rsidRPr="006E3C44" w:rsidRDefault="00BC52D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46BF1578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7A2CDA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49882706" w:rsidR="006C629D" w:rsidRPr="006E3C44" w:rsidRDefault="00647D8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40F05991" w:rsidR="006C629D" w:rsidRPr="006E3C44" w:rsidRDefault="00BC52D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549F392A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7A2CDA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51160951" w:rsidR="006C629D" w:rsidRPr="006E3C44" w:rsidRDefault="00647D8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15290D79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2550AF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88BDF39" w14:textId="74B71F33" w:rsidR="00870A68" w:rsidRDefault="00EF1667" w:rsidP="00D205A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733A24" w:rsidRPr="00005626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Rafał Czech</w:t>
      </w:r>
      <w:r w:rsidR="00733A24" w:rsidRPr="00005626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 xml:space="preserve"> -</w:t>
      </w:r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 xml:space="preserve"> prawnik i praktyk prawa pracy, wieloletni wykładowca oraz pracownik organu nadzoru nad przestrzeganiem prawa pracy. Autor ponad tysiąca opinii prawnych i artykułów, ekspert w zakresie prawa pracy, czasu pracy, wynagrodzeń, </w:t>
      </w:r>
      <w:proofErr w:type="spellStart"/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>mobbingu</w:t>
      </w:r>
      <w:proofErr w:type="spellEnd"/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 xml:space="preserve"> i dyskryminacji. Ceniony szkoleniowiec, członek zespołów opiniujących zmiany w przepisach prawa</w:t>
      </w:r>
      <w:r w:rsidR="00D205A8">
        <w:rPr>
          <w:rFonts w:ascii="Times New Roman" w:eastAsia="Times New Roman" w:hAnsi="Times New Roman" w:cs="Times New Roman"/>
          <w:kern w:val="36"/>
          <w:lang w:eastAsia="pl-PL"/>
        </w:rPr>
        <w:br/>
      </w:r>
      <w:r w:rsidR="00733A24">
        <w:rPr>
          <w:rFonts w:ascii="Times New Roman" w:eastAsia="Times New Roman" w:hAnsi="Times New Roman" w:cs="Times New Roman"/>
          <w:kern w:val="36"/>
          <w:lang w:eastAsia="pl-PL"/>
        </w:rPr>
        <w:br/>
      </w:r>
      <w:r w:rsidR="00D604F8"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</w:t>
      </w:r>
      <w:r w:rsidR="00906EDC">
        <w:rPr>
          <w:rFonts w:ascii="Times New Roman" w:hAnsi="Times New Roman" w:cs="Times New Roman"/>
          <w:b/>
          <w:sz w:val="25"/>
          <w:szCs w:val="25"/>
        </w:rPr>
        <w:t xml:space="preserve">   </w:t>
      </w:r>
      <w:r w:rsidR="00D604F8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pPr w:leftFromText="141" w:rightFromText="141" w:vertAnchor="text" w:horzAnchor="margin" w:tblpY="150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F34E6C" w:rsidRPr="006C629D" w14:paraId="17C558F0" w14:textId="77777777" w:rsidTr="00F34E6C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4C94C0" w14:textId="77777777" w:rsidR="00F34E6C" w:rsidRPr="006C629D" w:rsidRDefault="00F34E6C" w:rsidP="00F34E6C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2F349E4" w14:textId="77777777" w:rsidR="00F34E6C" w:rsidRPr="006C629D" w:rsidRDefault="00F34E6C" w:rsidP="00F34E6C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A6675E4" w14:textId="77777777" w:rsidR="00F34E6C" w:rsidRPr="006C629D" w:rsidRDefault="00F34E6C" w:rsidP="00F34E6C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F34E6C" w:rsidRPr="006C629D" w14:paraId="5C22412B" w14:textId="77777777" w:rsidTr="00F34E6C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B001" w14:textId="77777777" w:rsidR="00F34E6C" w:rsidRPr="006C629D" w:rsidRDefault="00F34E6C" w:rsidP="00F34E6C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174080974" w:edGrp="everyone"/>
            <w:permEnd w:id="1174080974"/>
          </w:p>
          <w:p w14:paraId="3AF9CE69" w14:textId="77777777" w:rsidR="00F34E6C" w:rsidRPr="006C629D" w:rsidRDefault="00F34E6C" w:rsidP="00F34E6C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66E4" w14:textId="77777777" w:rsidR="00F34E6C" w:rsidRPr="006C629D" w:rsidRDefault="00F34E6C" w:rsidP="00F34E6C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49459167" w:edGrp="everyone"/>
            <w:permEnd w:id="1049459167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FD04" w14:textId="77777777" w:rsidR="00F34E6C" w:rsidRPr="006C629D" w:rsidRDefault="00F34E6C" w:rsidP="00F34E6C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57524033" w:edGrp="everyone"/>
            <w:permEnd w:id="357524033"/>
          </w:p>
        </w:tc>
      </w:tr>
      <w:tr w:rsidR="00F34E6C" w:rsidRPr="006C629D" w14:paraId="4A579E0C" w14:textId="77777777" w:rsidTr="00F34E6C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E9BC" w14:textId="77777777" w:rsidR="00F34E6C" w:rsidRPr="006C629D" w:rsidRDefault="00F34E6C" w:rsidP="00F34E6C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35594500" w:edGrp="everyone"/>
            <w:permEnd w:id="835594500"/>
          </w:p>
          <w:p w14:paraId="6E55A657" w14:textId="77777777" w:rsidR="00F34E6C" w:rsidRPr="006C629D" w:rsidRDefault="00F34E6C" w:rsidP="00F34E6C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37A9" w14:textId="77777777" w:rsidR="00F34E6C" w:rsidRPr="006C629D" w:rsidRDefault="00F34E6C" w:rsidP="00F34E6C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49403781" w:edGrp="everyone"/>
            <w:permEnd w:id="349403781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4981" w14:textId="77777777" w:rsidR="00F34E6C" w:rsidRPr="006C629D" w:rsidRDefault="00F34E6C" w:rsidP="00F34E6C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439372194" w:edGrp="everyone"/>
            <w:permEnd w:id="1439372194"/>
          </w:p>
        </w:tc>
      </w:tr>
    </w:tbl>
    <w:p w14:paraId="66F267B5" w14:textId="77777777" w:rsidR="009E2835" w:rsidRPr="006C629D" w:rsidRDefault="009E2835" w:rsidP="00D205A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</w:p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29BDD661" w14:textId="77777777" w:rsidR="007A2CDA" w:rsidRPr="007A2CDA" w:rsidRDefault="007A2CDA" w:rsidP="007A2CDA">
      <w:pPr>
        <w:autoSpaceDN/>
        <w:spacing w:after="120" w:line="360" w:lineRule="auto"/>
        <w:jc w:val="center"/>
        <w:textAlignment w:val="auto"/>
        <w:rPr>
          <w:rFonts w:ascii="Times New Roman" w:eastAsiaTheme="minorHAnsi" w:hAnsi="Times New Roman" w:cs="Times New Roman"/>
          <w:b/>
          <w:bCs/>
          <w:iCs/>
          <w:color w:val="EE0000"/>
          <w:kern w:val="0"/>
          <w:sz w:val="28"/>
          <w:szCs w:val="28"/>
        </w:rPr>
      </w:pPr>
      <w:r w:rsidRPr="007A2CDA">
        <w:rPr>
          <w:rFonts w:ascii="Times New Roman" w:eastAsiaTheme="minorHAnsi" w:hAnsi="Times New Roman" w:cs="Times New Roman"/>
          <w:b/>
          <w:bCs/>
          <w:iCs/>
          <w:color w:val="EE0000"/>
          <w:kern w:val="0"/>
          <w:sz w:val="28"/>
          <w:szCs w:val="28"/>
        </w:rPr>
        <w:t>Karta nauczyciela w praktyce i dokumentacji</w:t>
      </w:r>
    </w:p>
    <w:p w14:paraId="348E30C6" w14:textId="77777777" w:rsidR="00647D83" w:rsidRPr="00647D83" w:rsidRDefault="00647D83" w:rsidP="00647D83">
      <w:pPr>
        <w:autoSpaceDN/>
        <w:spacing w:after="120" w:line="360" w:lineRule="auto"/>
        <w:jc w:val="center"/>
        <w:textAlignment w:val="auto"/>
        <w:rPr>
          <w:rFonts w:ascii="Times New Roman" w:eastAsiaTheme="minorHAnsi" w:hAnsi="Times New Roman" w:cs="Times New Roman"/>
          <w:iCs/>
          <w:color w:val="44546A" w:themeColor="text2"/>
          <w:kern w:val="0"/>
          <w:sz w:val="24"/>
          <w:szCs w:val="24"/>
        </w:rPr>
      </w:pPr>
    </w:p>
    <w:p w14:paraId="34911DBE" w14:textId="77777777" w:rsidR="007A2CDA" w:rsidRPr="007A2CDA" w:rsidRDefault="007A2CDA" w:rsidP="007A2CDA">
      <w:pPr>
        <w:pBdr>
          <w:left w:val="single" w:sz="24" w:space="9" w:color="1F4E79"/>
        </w:pBdr>
        <w:autoSpaceDN/>
        <w:spacing w:after="120" w:line="360" w:lineRule="auto"/>
        <w:textAlignment w:val="auto"/>
        <w:rPr>
          <w:rFonts w:ascii="Arial" w:eastAsiaTheme="minorHAnsi" w:hAnsi="Arial" w:cs="Arial"/>
          <w:b/>
          <w:noProof/>
          <w:color w:val="44546A" w:themeColor="text2"/>
          <w:kern w:val="0"/>
          <w:sz w:val="28"/>
          <w:szCs w:val="28"/>
        </w:rPr>
      </w:pPr>
      <w:r w:rsidRPr="007A2CDA">
        <w:rPr>
          <w:rFonts w:ascii="Times New Roman" w:eastAsiaTheme="minorHAnsi" w:hAnsi="Times New Roman" w:cs="Times New Roman"/>
          <w:b/>
          <w:noProof/>
          <w:color w:val="1F4E79"/>
          <w:kern w:val="0"/>
          <w:sz w:val="24"/>
          <w:szCs w:val="24"/>
        </w:rPr>
        <w:t>1. Stosowanie Karty Nauczyciela w praktyce</w:t>
      </w:r>
    </w:p>
    <w:p w14:paraId="3E2EDBCA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Zakres podmiotowy ustawy: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Kogo dotyczą, a kogo nie obejmują przepisy Karty Nauczyciela.</w:t>
      </w:r>
    </w:p>
    <w:p w14:paraId="26B2B617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Status prawny nauczyciela: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Prawa, podstawowe obowiązki oraz szczególna rola nauczyciela w procesie dydaktyczno-wychowawczym.</w:t>
      </w:r>
    </w:p>
    <w:p w14:paraId="310064CD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Ocena pracy: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Procedura, kryteria, zasady oceniania oraz rola opinii podmiotów zewnętrznych.</w:t>
      </w:r>
    </w:p>
    <w:p w14:paraId="7727DB25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</w:p>
    <w:p w14:paraId="4F0F1001" w14:textId="77777777" w:rsidR="007A2CDA" w:rsidRPr="007A2CDA" w:rsidRDefault="007A2CDA" w:rsidP="007A2CDA">
      <w:pPr>
        <w:pBdr>
          <w:left w:val="single" w:sz="24" w:space="8" w:color="1F4E79"/>
        </w:pBdr>
        <w:autoSpaceDN/>
        <w:spacing w:after="120"/>
        <w:textAlignment w:val="auto"/>
        <w:rPr>
          <w:rFonts w:ascii="Times New Roman" w:eastAsiaTheme="minorHAnsi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HAnsi" w:hAnsi="Times New Roman" w:cs="Times New Roman"/>
          <w:b/>
          <w:noProof/>
          <w:color w:val="1F4E79"/>
          <w:kern w:val="0"/>
          <w:sz w:val="24"/>
          <w:szCs w:val="24"/>
        </w:rPr>
        <w:t>2. Kwalifikacje i awans zawodowy nauczycieli</w:t>
      </w:r>
    </w:p>
    <w:p w14:paraId="0FE5D00E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Wymogi formalne: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Kwalifikacje niezbędne do zajmowania stanowiska nauczyciela w zależności od typu placówki.</w:t>
      </w:r>
    </w:p>
    <w:p w14:paraId="7E6B6CD1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>Przygotowanie do zawodu (nauczyciel początkujący):</w:t>
      </w:r>
    </w:p>
    <w:p w14:paraId="7A3A95EB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720" w:hanging="360"/>
        <w:textAlignment w:val="auto"/>
        <w:rPr>
          <w:rFonts w:ascii="Times New Roman" w:eastAsiaTheme="minorEastAsia" w:hAnsi="Times New Roman" w:cs="Times New Roman"/>
          <w:bCs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Cs/>
          <w:noProof/>
          <w:kern w:val="0"/>
          <w:sz w:val="24"/>
          <w:szCs w:val="24"/>
        </w:rPr>
        <w:t>Zasady odbywania przygotowania do zawodu i planowanie etatów w arkuszu organizacyjnym.</w:t>
      </w:r>
    </w:p>
    <w:p w14:paraId="34964C49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720" w:hanging="360"/>
        <w:textAlignment w:val="auto"/>
        <w:rPr>
          <w:rFonts w:ascii="Times New Roman" w:eastAsiaTheme="minorEastAsia" w:hAnsi="Times New Roman" w:cs="Times New Roman"/>
          <w:bCs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Cs/>
          <w:noProof/>
          <w:kern w:val="0"/>
          <w:sz w:val="24"/>
          <w:szCs w:val="24"/>
        </w:rPr>
        <w:t>Obserwacja zajęć – procedury, zasady prowadzenia oraz dokumentowanie wniosków.</w:t>
      </w:r>
    </w:p>
    <w:p w14:paraId="04F9665D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>Postępowanie egzaminacyjne i kwalifikacyjne:</w:t>
      </w:r>
    </w:p>
    <w:p w14:paraId="6ED8A917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720" w:hanging="360"/>
        <w:textAlignment w:val="auto"/>
        <w:rPr>
          <w:rFonts w:ascii="Times New Roman" w:eastAsiaTheme="minorEastAsia" w:hAnsi="Times New Roman" w:cs="Times New Roman"/>
          <w:bCs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Cs/>
          <w:noProof/>
          <w:kern w:val="0"/>
          <w:sz w:val="24"/>
          <w:szCs w:val="24"/>
        </w:rPr>
        <w:t>Struktura stopni awansu zawodowego i ogólne kryteria ich uzyskiwania.</w:t>
      </w:r>
    </w:p>
    <w:p w14:paraId="08DBD71D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720" w:hanging="360"/>
        <w:textAlignment w:val="auto"/>
        <w:rPr>
          <w:rFonts w:ascii="Times New Roman" w:eastAsiaTheme="minorEastAsia" w:hAnsi="Times New Roman" w:cs="Times New Roman"/>
          <w:bCs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Cs/>
          <w:noProof/>
          <w:kern w:val="0"/>
          <w:sz w:val="24"/>
          <w:szCs w:val="24"/>
        </w:rPr>
        <w:t>Skład, powoływanie i funkcjonowanie komisji ds. awansu oraz nadzór prawno-pedagogiczny nad procedurą.</w:t>
      </w:r>
    </w:p>
    <w:p w14:paraId="74D81B78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72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</w:p>
    <w:p w14:paraId="21A2C3AE" w14:textId="77777777" w:rsidR="007A2CDA" w:rsidRPr="007A2CDA" w:rsidRDefault="007A2CDA" w:rsidP="007A2CDA">
      <w:pPr>
        <w:pBdr>
          <w:left w:val="single" w:sz="24" w:space="8" w:color="1F4E79"/>
        </w:pBdr>
        <w:autoSpaceDN/>
        <w:spacing w:after="120"/>
        <w:textAlignment w:val="auto"/>
        <w:rPr>
          <w:rFonts w:ascii="Times New Roman" w:eastAsiaTheme="minorHAnsi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HAnsi" w:hAnsi="Times New Roman" w:cs="Times New Roman"/>
          <w:b/>
          <w:noProof/>
          <w:color w:val="1F4E79"/>
          <w:kern w:val="0"/>
          <w:sz w:val="24"/>
          <w:szCs w:val="24"/>
        </w:rPr>
        <w:t>3. Nawiązanie, zmiana i rozwiązanie stosunku pracy</w:t>
      </w:r>
    </w:p>
    <w:p w14:paraId="7C39B210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Formy zatrudnienia: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Specyfika umów o pracę i aktu mianowania w szkołach samorządowych oraz niesamorządowych.</w:t>
      </w:r>
    </w:p>
    <w:p w14:paraId="4C71176F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Modyfikacje stosunku pracy: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Przeniesienia służbowe (dla nauczycieli mianowanych) oraz zasady udzielania urlopów bezpłatnych na czas pełnienia funkcji z wyboru.</w:t>
      </w:r>
    </w:p>
    <w:p w14:paraId="299CCE79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Ruch służbowy i redukcje etatów: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Zwalnianie nauczycieli i rozwiązywanie umów z przyczyn organizacyjnych.</w:t>
      </w:r>
    </w:p>
    <w:p w14:paraId="7FA9C6EE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>Procedura ograniczania etatu oraz zasady uzupełniania pensum w innej placówce.</w:t>
      </w:r>
    </w:p>
    <w:p w14:paraId="2F418389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Ustanie stosunku pracy: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Tryb i warunki rozwiązania umowy/mianowania oraz przesłanki wygaśnięcia stosunku pracy z mocy prawa. Zasady naliczania i wypłaty odpraw dla nauczycieli mianowanych i kontraktowych.</w:t>
      </w:r>
    </w:p>
    <w:p w14:paraId="7F5FE7F9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</w:p>
    <w:p w14:paraId="1D53270E" w14:textId="77777777" w:rsidR="007A2CDA" w:rsidRPr="007A2CDA" w:rsidRDefault="007A2CDA" w:rsidP="007A2CDA">
      <w:pPr>
        <w:pBdr>
          <w:left w:val="single" w:sz="24" w:space="8" w:color="1F4E79"/>
        </w:pBdr>
        <w:autoSpaceDN/>
        <w:spacing w:after="120"/>
        <w:textAlignment w:val="auto"/>
        <w:rPr>
          <w:rFonts w:ascii="Times New Roman" w:eastAsiaTheme="minorHAnsi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HAnsi" w:hAnsi="Times New Roman" w:cs="Times New Roman"/>
          <w:b/>
          <w:noProof/>
          <w:color w:val="1F4E79"/>
          <w:kern w:val="0"/>
          <w:sz w:val="24"/>
          <w:szCs w:val="24"/>
        </w:rPr>
        <w:lastRenderedPageBreak/>
        <w:t>4. Czas pracy i system wynagradzania</w:t>
      </w:r>
    </w:p>
    <w:p w14:paraId="1A0E17A2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Struktura płacowa: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Składniki wynagrodzenia, zasady nabywania i wygaszania prawa do pensji oraz terminy wypłat.</w:t>
      </w:r>
    </w:p>
    <w:p w14:paraId="29AD69A2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>Świadczenia dodatkowe i dodatki:</w:t>
      </w:r>
    </w:p>
    <w:p w14:paraId="7CBA4623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72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>Jednorazowy dodatek uzupełniający (analiza, naliczanie i wypłata).</w:t>
      </w:r>
    </w:p>
    <w:p w14:paraId="1121A833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72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>Dodatek za wysługę lat, dodatek wiejski oraz praca w warunkach trudnych i uciążliwych.</w:t>
      </w:r>
    </w:p>
    <w:p w14:paraId="533E6D31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72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>Dodatek funkcyjny ze szczególnym uwzględnieniem wychowawstwa klasy.</w:t>
      </w:r>
    </w:p>
    <w:p w14:paraId="1CEFC147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Czas pracy i organizacja tygodnia roboczego: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Rozliczanie tygodnia pracy nauczyciela, rozliczanie zadań statutowych, interpretacje przepisów w tym zakresie. Przydział i rozliczanie godzin ponadwymiarowych oraz doraźnych zastępstw. Praca w porze nocnej, organizacja dni wolnych oraz zasady przyznawania zniżek w tygodniowym wymiarze godzin zajęć.</w:t>
      </w:r>
    </w:p>
    <w:p w14:paraId="34D6776B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Nauczyciele specjaliści: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Status, zadania i wymiar etatów psychologów, pedagogów, logopedów itp.</w:t>
      </w:r>
    </w:p>
    <w:p w14:paraId="22B0074F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Finansowanie zewnętrzne: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Zasady prowadzenia i rozliczania zajęć dydaktycznych ze środków Unii Europejskiej.</w:t>
      </w:r>
    </w:p>
    <w:p w14:paraId="56152775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</w:p>
    <w:p w14:paraId="04979178" w14:textId="77777777" w:rsidR="007A2CDA" w:rsidRPr="007A2CDA" w:rsidRDefault="007A2CDA" w:rsidP="007A2CDA">
      <w:pPr>
        <w:pBdr>
          <w:left w:val="single" w:sz="24" w:space="8" w:color="1F4E79"/>
        </w:pBdr>
        <w:autoSpaceDN/>
        <w:spacing w:after="120"/>
        <w:textAlignment w:val="auto"/>
        <w:rPr>
          <w:rFonts w:ascii="Times New Roman" w:eastAsiaTheme="minorHAnsi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HAnsi" w:hAnsi="Times New Roman" w:cs="Times New Roman"/>
          <w:b/>
          <w:noProof/>
          <w:color w:val="1F4E79"/>
          <w:kern w:val="0"/>
          <w:sz w:val="24"/>
          <w:szCs w:val="24"/>
        </w:rPr>
        <w:t>5. Nagrody, odznaczenia i uprawnienia socjalne</w:t>
      </w:r>
    </w:p>
    <w:p w14:paraId="45B45387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System nagradzania: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Zasady podziału funduszenagród za osiągnięcia, kryteria przyznawania "trzynastki" oraz naliczanie nagród jubileuszowych.</w:t>
      </w:r>
    </w:p>
    <w:p w14:paraId="31F53EF5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Świadczenia socjalne: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Zakładowy Fundusz Śświadczeń Socjalnych (ZFŚS), świadczenie urlopowe oraz jednorazowe "świadczenie na start" dla nauczycieli początkujących.</w:t>
      </w:r>
    </w:p>
    <w:p w14:paraId="287CF979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</w:p>
    <w:p w14:paraId="5D7B60D6" w14:textId="77777777" w:rsidR="007A2CDA" w:rsidRPr="007A2CDA" w:rsidRDefault="007A2CDA" w:rsidP="007A2CDA">
      <w:pPr>
        <w:pBdr>
          <w:left w:val="single" w:sz="24" w:space="8" w:color="1F4E79"/>
        </w:pBdr>
        <w:autoSpaceDN/>
        <w:spacing w:after="120"/>
        <w:textAlignment w:val="auto"/>
        <w:rPr>
          <w:rFonts w:ascii="Times New Roman" w:eastAsiaTheme="minorHAnsi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HAnsi" w:hAnsi="Times New Roman" w:cs="Times New Roman"/>
          <w:b/>
          <w:noProof/>
          <w:color w:val="1F4E79"/>
          <w:kern w:val="0"/>
          <w:sz w:val="24"/>
          <w:szCs w:val="24"/>
        </w:rPr>
        <w:t>6. Urlopy pracownicze i ochrona zdrowia nauczyciela</w:t>
      </w:r>
    </w:p>
    <w:p w14:paraId="613ECF53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Urlopy wypoczynkowe: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Wymiar, zasady planowania i udzielania urlopu w placówkach feryjnych i nieferyjnych oraz zasady naliczania wynagrodzenia urlopowego.</w:t>
      </w:r>
    </w:p>
    <w:p w14:paraId="41A49E56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Uprawnienia rodzicielskie i opiekuńcze: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Urlopy wychowawcze, zwolnienia na opiekę nad dzieckiem oraz organizacja przerw dla matek karmiących.</w:t>
      </w:r>
    </w:p>
    <w:p w14:paraId="635B1465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Urlopy bezpłatne: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Wnioskowanie, przesłanki i zasady udzielania standardowych oraz specjalnych urlopów bezpłatnych.</w:t>
      </w:r>
    </w:p>
    <w:p w14:paraId="382A47A6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Ochrona zdrowia: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Korzystanie z funduszu pomocy zdrowotnej oraz procedury i zasady udzielania urlopu dla poratowania zdrowia.</w:t>
      </w:r>
    </w:p>
    <w:p w14:paraId="490B86CB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</w:p>
    <w:p w14:paraId="5A3EEB44" w14:textId="77777777" w:rsidR="007A2CDA" w:rsidRPr="007A2CDA" w:rsidRDefault="007A2CDA" w:rsidP="007A2CDA">
      <w:pPr>
        <w:pBdr>
          <w:left w:val="single" w:sz="24" w:space="8" w:color="1F4E79"/>
        </w:pBdr>
        <w:autoSpaceDN/>
        <w:spacing w:after="120"/>
        <w:textAlignment w:val="auto"/>
        <w:rPr>
          <w:rFonts w:ascii="Times New Roman" w:eastAsiaTheme="minorHAnsi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HAnsi" w:hAnsi="Times New Roman" w:cs="Times New Roman"/>
          <w:b/>
          <w:noProof/>
          <w:color w:val="1F4E79"/>
          <w:kern w:val="0"/>
          <w:sz w:val="24"/>
          <w:szCs w:val="24"/>
        </w:rPr>
        <w:t>7. Odpowiedzialność dyscyplinarna nauczycieli</w:t>
      </w:r>
    </w:p>
    <w:p w14:paraId="3AD48185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Podstawy postępowania: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Przesłanki odpowiedzialności, katalog kar dyscyplinarnych oraz zasady i terminy ich przedawnienia.</w:t>
      </w:r>
    </w:p>
    <w:p w14:paraId="0579A1CA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Struktura organów dyscyplinarnych: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Rola i status rzecznika dyscyplinarnego oraz powoływanie i właściwość komisji dyscyplinarnych.</w:t>
      </w:r>
    </w:p>
    <w:p w14:paraId="26406706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Przebieg postępowania: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Cel i czynności w ramach wstępnego postępowania wyjaśniającego. Prawa i gwarancje procesowe obwinionego nauczyciela. Struktura, jawność i zasady prowadzenia rozprawy przed komisją.</w:t>
      </w:r>
    </w:p>
    <w:p w14:paraId="0FBD2434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lastRenderedPageBreak/>
        <w:t xml:space="preserve">Orzeczenia i środki odwoławcze: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Tryb wydawania orzeczeń, koszty postępowania, procedury odwoławcze (w tym przed sądem powszechnym) oraz warunki wznowienia postępowania.</w:t>
      </w:r>
    </w:p>
    <w:p w14:paraId="66229C41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Konsekwencje kadrowe: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>Zawieszenie nauczyciela w obowiązkach służbowych (wpływ na pensję), zatarcie kar w aktach oraz obowiązek weryfikacji danych w Centralnym Rejestrze Orzeczeń Dyscyplinarnych.</w:t>
      </w:r>
    </w:p>
    <w:p w14:paraId="58D160C0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/>
        <w:textAlignment w:val="auto"/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</w:pPr>
    </w:p>
    <w:p w14:paraId="7379783E" w14:textId="77777777" w:rsidR="007A2CDA" w:rsidRPr="007A2CDA" w:rsidRDefault="007A2CDA" w:rsidP="007A2CDA">
      <w:pPr>
        <w:pBdr>
          <w:left w:val="single" w:sz="24" w:space="8" w:color="1F4E79"/>
        </w:pBdr>
        <w:autoSpaceDN/>
        <w:spacing w:after="120"/>
        <w:textAlignment w:val="auto"/>
        <w:rPr>
          <w:rFonts w:ascii="Times New Roman" w:eastAsiaTheme="minorHAnsi" w:hAnsi="Times New Roman" w:cs="Times New Roman"/>
          <w:noProof/>
          <w:kern w:val="0"/>
          <w:sz w:val="24"/>
          <w:szCs w:val="24"/>
        </w:rPr>
      </w:pPr>
      <w:r w:rsidRPr="007A2CDA">
        <w:rPr>
          <w:rFonts w:ascii="Times New Roman" w:eastAsiaTheme="minorHAnsi" w:hAnsi="Times New Roman" w:cs="Times New Roman"/>
          <w:b/>
          <w:noProof/>
          <w:color w:val="1F4E79"/>
          <w:kern w:val="0"/>
          <w:sz w:val="24"/>
          <w:szCs w:val="24"/>
        </w:rPr>
        <w:t>8. Uprawnienia emerytalne nauczycieli</w:t>
      </w:r>
    </w:p>
    <w:p w14:paraId="1606E234" w14:textId="77777777" w:rsidR="007A2CDA" w:rsidRPr="007A2CDA" w:rsidRDefault="007A2CDA" w:rsidP="007A2CDA">
      <w:pPr>
        <w:tabs>
          <w:tab w:val="num" w:pos="360"/>
        </w:tabs>
        <w:autoSpaceDN/>
        <w:spacing w:after="120"/>
        <w:ind w:left="360" w:hanging="360"/>
        <w:textAlignment w:val="auto"/>
        <w:rPr>
          <w:rFonts w:ascii="Times New Roman" w:eastAsiaTheme="minorEastAsia" w:hAnsi="Times New Roman" w:cs="Times New Roman"/>
          <w:noProof/>
          <w:color w:val="44546A" w:themeColor="text2"/>
          <w:kern w:val="0"/>
          <w:sz w:val="28"/>
          <w:szCs w:val="28"/>
        </w:rPr>
      </w:pPr>
      <w:r w:rsidRPr="007A2CDA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</w:rPr>
        <w:t xml:space="preserve">Przegląd systemów emerytalnych: </w:t>
      </w:r>
      <w:r w:rsidRPr="007A2CDA">
        <w:rPr>
          <w:rFonts w:ascii="Times New Roman" w:eastAsiaTheme="minorEastAsia" w:hAnsi="Times New Roman" w:cs="Times New Roman"/>
          <w:noProof/>
          <w:kern w:val="0"/>
          <w:sz w:val="24"/>
          <w:szCs w:val="24"/>
        </w:rPr>
        <w:t xml:space="preserve">Klasyczne uprawnienia emerytalne, zasady przechodzenia na wcześniejsze emerytury oraz nowe warunki i kryteria </w:t>
      </w:r>
      <w:r w:rsidRPr="007A2CDA">
        <w:rPr>
          <w:rFonts w:ascii="Times New Roman" w:eastAsiaTheme="minorEastAsia" w:hAnsi="Times New Roman" w:cs="Times New Roman"/>
          <w:noProof/>
          <w:color w:val="44546A" w:themeColor="text2"/>
          <w:kern w:val="0"/>
          <w:sz w:val="28"/>
          <w:szCs w:val="28"/>
        </w:rPr>
        <w:t>przyznawania nauczycielskich emerytur stażowych.</w:t>
      </w:r>
    </w:p>
    <w:p w14:paraId="6C80395E" w14:textId="77777777" w:rsid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</w:p>
    <w:p w14:paraId="6F583DC5" w14:textId="77777777" w:rsidR="007A2CDA" w:rsidRPr="00647D83" w:rsidRDefault="007A2CDA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EastAsia" w:hAnsi="Times New Roman" w:cs="Times New Roman"/>
          <w:kern w:val="0"/>
          <w:sz w:val="24"/>
          <w:szCs w:val="24"/>
          <w:lang w:val="en-US"/>
        </w:rPr>
      </w:pPr>
    </w:p>
    <w:p w14:paraId="1D4898D4" w14:textId="33416436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4E3A4A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02B210D4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4F97BE2"/>
    <w:multiLevelType w:val="multilevel"/>
    <w:tmpl w:val="E1B21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11690C6E"/>
    <w:multiLevelType w:val="multilevel"/>
    <w:tmpl w:val="F34AE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7066C39"/>
    <w:multiLevelType w:val="multilevel"/>
    <w:tmpl w:val="2F52D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037233D"/>
    <w:multiLevelType w:val="multilevel"/>
    <w:tmpl w:val="37AA0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2F424BE"/>
    <w:multiLevelType w:val="multilevel"/>
    <w:tmpl w:val="AE9AF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3F7697B"/>
    <w:multiLevelType w:val="multilevel"/>
    <w:tmpl w:val="A53C7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5E15BCF"/>
    <w:multiLevelType w:val="multilevel"/>
    <w:tmpl w:val="B32E7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7FC2DEA"/>
    <w:multiLevelType w:val="multilevel"/>
    <w:tmpl w:val="5C8E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801B40"/>
    <w:multiLevelType w:val="multilevel"/>
    <w:tmpl w:val="197AB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C5B5055"/>
    <w:multiLevelType w:val="multilevel"/>
    <w:tmpl w:val="25AC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D136378"/>
    <w:multiLevelType w:val="multilevel"/>
    <w:tmpl w:val="92A6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D596F69"/>
    <w:multiLevelType w:val="multilevel"/>
    <w:tmpl w:val="D03A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E663A6F"/>
    <w:multiLevelType w:val="multilevel"/>
    <w:tmpl w:val="D82A7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3F363114"/>
    <w:multiLevelType w:val="multilevel"/>
    <w:tmpl w:val="0F42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448328D3"/>
    <w:multiLevelType w:val="multilevel"/>
    <w:tmpl w:val="B1A22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8D25EC6"/>
    <w:multiLevelType w:val="multilevel"/>
    <w:tmpl w:val="5DFAB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94777B0"/>
    <w:multiLevelType w:val="multilevel"/>
    <w:tmpl w:val="C718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5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8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9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1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2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53" w15:restartNumberingAfterBreak="0">
    <w:nsid w:val="67643D3D"/>
    <w:multiLevelType w:val="multilevel"/>
    <w:tmpl w:val="1246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5" w15:restartNumberingAfterBreak="0">
    <w:nsid w:val="6BF43835"/>
    <w:multiLevelType w:val="multilevel"/>
    <w:tmpl w:val="EBCC9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D0067E1"/>
    <w:multiLevelType w:val="multilevel"/>
    <w:tmpl w:val="D8221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9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0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43"/>
  </w:num>
  <w:num w:numId="2" w16cid:durableId="1678653740">
    <w:abstractNumId w:val="34"/>
  </w:num>
  <w:num w:numId="3" w16cid:durableId="261382043">
    <w:abstractNumId w:val="45"/>
  </w:num>
  <w:num w:numId="4" w16cid:durableId="1520777818">
    <w:abstractNumId w:val="37"/>
  </w:num>
  <w:num w:numId="5" w16cid:durableId="1095517474">
    <w:abstractNumId w:val="35"/>
  </w:num>
  <w:num w:numId="6" w16cid:durableId="503279571">
    <w:abstractNumId w:val="54"/>
  </w:num>
  <w:num w:numId="7" w16cid:durableId="943683199">
    <w:abstractNumId w:val="51"/>
  </w:num>
  <w:num w:numId="8" w16cid:durableId="1685938094">
    <w:abstractNumId w:val="60"/>
  </w:num>
  <w:num w:numId="9" w16cid:durableId="1711299630">
    <w:abstractNumId w:val="52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58"/>
  </w:num>
  <w:num w:numId="14" w16cid:durableId="1121219971">
    <w:abstractNumId w:val="16"/>
  </w:num>
  <w:num w:numId="15" w16cid:durableId="1788354766">
    <w:abstractNumId w:val="15"/>
  </w:num>
  <w:num w:numId="16" w16cid:durableId="172575507">
    <w:abstractNumId w:val="50"/>
  </w:num>
  <w:num w:numId="17" w16cid:durableId="1045565260">
    <w:abstractNumId w:val="48"/>
  </w:num>
  <w:num w:numId="18" w16cid:durableId="134224124">
    <w:abstractNumId w:val="47"/>
  </w:num>
  <w:num w:numId="19" w16cid:durableId="1459493326">
    <w:abstractNumId w:val="59"/>
  </w:num>
  <w:num w:numId="20" w16cid:durableId="1829902598">
    <w:abstractNumId w:val="44"/>
  </w:num>
  <w:num w:numId="21" w16cid:durableId="1149709086">
    <w:abstractNumId w:val="39"/>
  </w:num>
  <w:num w:numId="22" w16cid:durableId="662661966">
    <w:abstractNumId w:val="40"/>
  </w:num>
  <w:num w:numId="23" w16cid:durableId="1399590505">
    <w:abstractNumId w:val="49"/>
  </w:num>
  <w:num w:numId="24" w16cid:durableId="2038696968">
    <w:abstractNumId w:val="20"/>
  </w:num>
  <w:num w:numId="25" w16cid:durableId="755516937">
    <w:abstractNumId w:val="46"/>
  </w:num>
  <w:num w:numId="26" w16cid:durableId="1818523141">
    <w:abstractNumId w:val="22"/>
  </w:num>
  <w:num w:numId="27" w16cid:durableId="638463559">
    <w:abstractNumId w:val="57"/>
  </w:num>
  <w:num w:numId="28" w16cid:durableId="1468863311">
    <w:abstractNumId w:val="23"/>
  </w:num>
  <w:num w:numId="29" w16cid:durableId="1758211933">
    <w:abstractNumId w:val="1"/>
  </w:num>
  <w:num w:numId="30" w16cid:durableId="1355037294">
    <w:abstractNumId w:val="0"/>
  </w:num>
  <w:num w:numId="31" w16cid:durableId="1959870663">
    <w:abstractNumId w:val="19"/>
  </w:num>
  <w:num w:numId="32" w16cid:durableId="1878002826">
    <w:abstractNumId w:val="42"/>
  </w:num>
  <w:num w:numId="33" w16cid:durableId="138346728">
    <w:abstractNumId w:val="38"/>
  </w:num>
  <w:num w:numId="34" w16cid:durableId="1920364542">
    <w:abstractNumId w:val="14"/>
  </w:num>
  <w:num w:numId="35" w16cid:durableId="275451108">
    <w:abstractNumId w:val="27"/>
  </w:num>
  <w:num w:numId="36" w16cid:durableId="1646201326">
    <w:abstractNumId w:val="30"/>
  </w:num>
  <w:num w:numId="37" w16cid:durableId="806166093">
    <w:abstractNumId w:val="21"/>
  </w:num>
  <w:num w:numId="38" w16cid:durableId="247352229">
    <w:abstractNumId w:val="28"/>
  </w:num>
  <w:num w:numId="39" w16cid:durableId="2014648048">
    <w:abstractNumId w:val="36"/>
  </w:num>
  <w:num w:numId="40" w16cid:durableId="2140032022">
    <w:abstractNumId w:val="33"/>
  </w:num>
  <w:num w:numId="41" w16cid:durableId="301691000">
    <w:abstractNumId w:val="24"/>
  </w:num>
  <w:num w:numId="42" w16cid:durableId="339429384">
    <w:abstractNumId w:val="55"/>
  </w:num>
  <w:num w:numId="43" w16cid:durableId="17245222">
    <w:abstractNumId w:val="31"/>
  </w:num>
  <w:num w:numId="44" w16cid:durableId="1102453995">
    <w:abstractNumId w:val="56"/>
  </w:num>
  <w:num w:numId="45" w16cid:durableId="1848204535">
    <w:abstractNumId w:val="26"/>
  </w:num>
  <w:num w:numId="46" w16cid:durableId="662127405">
    <w:abstractNumId w:val="32"/>
  </w:num>
  <w:num w:numId="47" w16cid:durableId="538126469">
    <w:abstractNumId w:val="41"/>
  </w:num>
  <w:num w:numId="48" w16cid:durableId="9531111">
    <w:abstractNumId w:val="29"/>
  </w:num>
  <w:num w:numId="49" w16cid:durableId="1111585099">
    <w:abstractNumId w:val="53"/>
  </w:num>
  <w:num w:numId="50" w16cid:durableId="263926420">
    <w:abstractNumId w:val="2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MVwR6jVE4C6seTj1ifs4mTRjMBloIK5vXNknqR6QNVkJGGb5l8lDaUKLq1IGFFYyl64SGxS/NxajCWgBu+urUA==" w:salt="1xSUNrYSrGrhM5a/kPu1E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0AF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07AC2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2CA2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1CFD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E3A4A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80D92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2CD7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47D83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3A24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2CDA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5BF"/>
    <w:rsid w:val="008419E6"/>
    <w:rsid w:val="00842BFC"/>
    <w:rsid w:val="00843378"/>
    <w:rsid w:val="0084410B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06EDC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B7445"/>
    <w:rsid w:val="009C2526"/>
    <w:rsid w:val="009C3E61"/>
    <w:rsid w:val="009D0078"/>
    <w:rsid w:val="009E2835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2DA7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C52DD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2F33"/>
    <w:rsid w:val="00D0464F"/>
    <w:rsid w:val="00D0634C"/>
    <w:rsid w:val="00D205A8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04F8"/>
    <w:rsid w:val="00D623ED"/>
    <w:rsid w:val="00D65283"/>
    <w:rsid w:val="00D66507"/>
    <w:rsid w:val="00D73B3F"/>
    <w:rsid w:val="00D748CF"/>
    <w:rsid w:val="00D74E62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2D1E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4E6C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2E92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4</Pages>
  <Words>1198</Words>
  <Characters>7191</Characters>
  <Application>Microsoft Office Word</Application>
  <DocSecurity>8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785</cp:revision>
  <cp:lastPrinted>2019-04-30T11:10:00Z</cp:lastPrinted>
  <dcterms:created xsi:type="dcterms:W3CDTF">2022-08-12T10:48:00Z</dcterms:created>
  <dcterms:modified xsi:type="dcterms:W3CDTF">2026-07-17T09:29:00Z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