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2CB5F16" w14:textId="77777777" w:rsidR="0035465B" w:rsidRDefault="0035465B" w:rsidP="002E785D">
      <w:pPr>
        <w:spacing w:line="36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E303FD3" w14:textId="6CE19E01" w:rsidR="003B59D7" w:rsidRPr="004D10E1" w:rsidRDefault="003B59D7" w:rsidP="00C6385D">
      <w:pPr>
        <w:jc w:val="center"/>
        <w:rPr>
          <w:b/>
          <w:bCs/>
          <w:color w:val="EE0000"/>
          <w:sz w:val="28"/>
          <w:szCs w:val="28"/>
        </w:rPr>
      </w:pPr>
      <w:r w:rsidRPr="004D10E1">
        <w:rPr>
          <w:b/>
          <w:bCs/>
          <w:color w:val="EE0000"/>
          <w:sz w:val="28"/>
          <w:szCs w:val="28"/>
        </w:rPr>
        <w:t>Równość i jawność wynagrodzeń 202</w:t>
      </w:r>
      <w:r w:rsidR="00C6385D">
        <w:rPr>
          <w:b/>
          <w:bCs/>
          <w:color w:val="EE0000"/>
          <w:sz w:val="28"/>
          <w:szCs w:val="28"/>
        </w:rPr>
        <w:t xml:space="preserve">6 </w:t>
      </w:r>
      <w:r w:rsidR="00C6385D">
        <w:rPr>
          <w:b/>
          <w:bCs/>
          <w:color w:val="EE0000"/>
          <w:sz w:val="28"/>
          <w:szCs w:val="28"/>
        </w:rPr>
        <w:br/>
      </w:r>
      <w:r w:rsidRPr="004D10E1">
        <w:rPr>
          <w:b/>
          <w:bCs/>
          <w:color w:val="EE0000"/>
          <w:sz w:val="28"/>
          <w:szCs w:val="28"/>
        </w:rPr>
        <w:t>Wartościowanie stanowisk pracy jako fundament sprawiedliwego systemu wynagradzania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14FD6D3A" w:rsidR="006C629D" w:rsidRPr="006E3C44" w:rsidRDefault="00DB02A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6E40DD6B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ECB9142" w:rsidR="006C629D" w:rsidRPr="006E3C44" w:rsidRDefault="00647D8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1C4F6D4F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15.</w:t>
            </w:r>
            <w:r w:rsidR="00DB02AB">
              <w:rPr>
                <w:rFonts w:ascii="Times New Roman" w:hAnsi="Times New Roman" w:cs="Times New Roman"/>
                <w:b/>
              </w:rPr>
              <w:t>10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684E8A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9882706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7476F7C" w:rsidR="006C629D" w:rsidRPr="006E3C44" w:rsidRDefault="00DB02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7CE2659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160951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6B447F6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8B3533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AE522FA" w14:textId="77777777" w:rsidR="00020C49" w:rsidRDefault="00EF1667" w:rsidP="0073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733A24" w:rsidRPr="00005626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Rafał Czech</w:t>
      </w:r>
      <w:r w:rsidR="00733A24" w:rsidRPr="0000562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-</w:t>
      </w:r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prawnik i praktyk prawa pracy, wieloletni wykładowca oraz pracownik organu nadzoru nad przestrzeganiem prawa pracy. Autor ponad tysiąca opinii prawnych i artykułów, ekspert w zakresie prawa pracy, czasu pracy, wynagrodzeń, </w:t>
      </w:r>
      <w:proofErr w:type="spellStart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i dyskryminacji. Ceniony szkoleniowiec, członek zespołów opiniujących zmiany w przepisach prawa</w:t>
      </w:r>
    </w:p>
    <w:p w14:paraId="488BDF39" w14:textId="57DA4064" w:rsidR="00870A68" w:rsidRPr="006C629D" w:rsidRDefault="00733A24" w:rsidP="00733A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020C49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C20CB08" w14:textId="77777777" w:rsidR="00C6385D" w:rsidRPr="004D10E1" w:rsidRDefault="00C6385D" w:rsidP="00C6385D">
      <w:pPr>
        <w:jc w:val="center"/>
        <w:rPr>
          <w:b/>
          <w:bCs/>
          <w:color w:val="EE0000"/>
          <w:sz w:val="28"/>
          <w:szCs w:val="28"/>
        </w:rPr>
      </w:pPr>
      <w:r w:rsidRPr="004D10E1">
        <w:rPr>
          <w:b/>
          <w:bCs/>
          <w:color w:val="EE0000"/>
          <w:sz w:val="28"/>
          <w:szCs w:val="28"/>
        </w:rPr>
        <w:t>Równość i jawność wynagrodzeń 202</w:t>
      </w:r>
      <w:r>
        <w:rPr>
          <w:b/>
          <w:bCs/>
          <w:color w:val="EE0000"/>
          <w:sz w:val="28"/>
          <w:szCs w:val="28"/>
        </w:rPr>
        <w:t xml:space="preserve">6 </w:t>
      </w:r>
      <w:r>
        <w:rPr>
          <w:b/>
          <w:bCs/>
          <w:color w:val="EE0000"/>
          <w:sz w:val="28"/>
          <w:szCs w:val="28"/>
        </w:rPr>
        <w:br/>
      </w:r>
      <w:r w:rsidRPr="004D10E1">
        <w:rPr>
          <w:b/>
          <w:bCs/>
          <w:color w:val="EE0000"/>
          <w:sz w:val="28"/>
          <w:szCs w:val="28"/>
        </w:rPr>
        <w:t>Wartościowanie stanowisk pracy jako fundament sprawiedliwego systemu wynagradzania</w:t>
      </w:r>
    </w:p>
    <w:p w14:paraId="676F6747" w14:textId="77777777" w:rsidR="00FE7E18" w:rsidRDefault="00FE7E18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E50C7" w14:textId="77777777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0E1">
        <w:rPr>
          <w:rFonts w:ascii="Times New Roman" w:hAnsi="Times New Roman" w:cs="Times New Roman"/>
          <w:b/>
          <w:bCs/>
          <w:sz w:val="24"/>
          <w:szCs w:val="24"/>
        </w:rPr>
        <w:t>Cel szkolenia</w:t>
      </w:r>
    </w:p>
    <w:p w14:paraId="14CDC2BB" w14:textId="77777777" w:rsidR="003B59D7" w:rsidRPr="004D10E1" w:rsidRDefault="003B59D7" w:rsidP="003B59D7">
      <w:pPr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>Przygotowanie pracodawców oraz działów HR, kadr i płac do wdrożenia nowych obowiązków wynikających z przepisów o równości i jawności wynagrodzeń, w tym wartościowania stanowisk pracy i raportowania luki płacowej.</w:t>
      </w:r>
    </w:p>
    <w:p w14:paraId="34B42AA5" w14:textId="77777777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0E1">
        <w:rPr>
          <w:rFonts w:ascii="Times New Roman" w:hAnsi="Times New Roman" w:cs="Times New Roman"/>
          <w:b/>
          <w:bCs/>
          <w:sz w:val="24"/>
          <w:szCs w:val="24"/>
        </w:rPr>
        <w:t>Korzyści z udziału</w:t>
      </w:r>
    </w:p>
    <w:p w14:paraId="7ED4C3F2" w14:textId="77777777" w:rsidR="003B59D7" w:rsidRPr="004D10E1" w:rsidRDefault="003B59D7" w:rsidP="003B59D7">
      <w:pPr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>Dowiesz się, jak prawidłowo wdrożyć nowe obowiązki, przygotować organizację do zmian oraz ograniczyć ryzyko sporów i odpowiedzialności związanej z nierównym wynagradzaniem.</w:t>
      </w:r>
    </w:p>
    <w:p w14:paraId="01921550" w14:textId="3576F82B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D10E1">
        <w:rPr>
          <w:rFonts w:ascii="Times New Roman" w:hAnsi="Times New Roman" w:cs="Times New Roman"/>
          <w:b/>
          <w:bCs/>
          <w:sz w:val="24"/>
          <w:szCs w:val="24"/>
        </w:rPr>
        <w:t>Moduł I. Jawność wynagrodzeń na etapie rekrutacji</w:t>
      </w:r>
    </w:p>
    <w:p w14:paraId="5C484B2B" w14:textId="77777777" w:rsidR="003B59D7" w:rsidRPr="004D10E1" w:rsidRDefault="003B59D7" w:rsidP="003B59D7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Obowiązek informowania o wynagrodzeniu przed nawiązaniem stosunku pracy. </w:t>
      </w:r>
    </w:p>
    <w:p w14:paraId="5C7897CC" w14:textId="77777777" w:rsidR="003B59D7" w:rsidRPr="004D10E1" w:rsidRDefault="003B59D7" w:rsidP="003B59D7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Neutralność ogłoszeń rekrutacyjnych. </w:t>
      </w:r>
    </w:p>
    <w:p w14:paraId="196456FC" w14:textId="77777777" w:rsidR="003B59D7" w:rsidRPr="004D10E1" w:rsidRDefault="003B59D7" w:rsidP="003B59D7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Zakaz pytania kandydatów o wysokość dotychczasowego wynagrodzenia. </w:t>
      </w:r>
    </w:p>
    <w:p w14:paraId="3969CE46" w14:textId="77777777" w:rsidR="003B59D7" w:rsidRPr="004D10E1" w:rsidRDefault="003B59D7" w:rsidP="003B59D7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Dostosowanie regulaminów, procedur i ogłoszeń do nowych przepisów. </w:t>
      </w:r>
    </w:p>
    <w:p w14:paraId="2B1B2D45" w14:textId="77777777" w:rsidR="003B59D7" w:rsidRPr="004D10E1" w:rsidRDefault="003B59D7" w:rsidP="003B59D7">
      <w:pPr>
        <w:rPr>
          <w:rFonts w:ascii="Times New Roman" w:hAnsi="Times New Roman" w:cs="Times New Roman"/>
          <w:sz w:val="24"/>
          <w:szCs w:val="24"/>
        </w:rPr>
      </w:pPr>
    </w:p>
    <w:p w14:paraId="4CA481BD" w14:textId="77777777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0E1">
        <w:rPr>
          <w:rFonts w:ascii="Times New Roman" w:hAnsi="Times New Roman" w:cs="Times New Roman"/>
          <w:b/>
          <w:bCs/>
          <w:sz w:val="24"/>
          <w:szCs w:val="24"/>
        </w:rPr>
        <w:t>Moduł II. Prawo pracownika do informacji o wynagrodzeniu</w:t>
      </w:r>
    </w:p>
    <w:p w14:paraId="5E12090C" w14:textId="77777777" w:rsidR="003B59D7" w:rsidRPr="004D10E1" w:rsidRDefault="003B59D7" w:rsidP="003B59D7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Zakres informacji przekazywanych pracownikowi na jego wniosek. </w:t>
      </w:r>
    </w:p>
    <w:p w14:paraId="74F205F2" w14:textId="77777777" w:rsidR="003B59D7" w:rsidRPr="004D10E1" w:rsidRDefault="003B59D7" w:rsidP="003B59D7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Informacja o średnich wynagrodzeniach pracowników wykonujących pracę tej samej lub porównywalnej wartości. </w:t>
      </w:r>
    </w:p>
    <w:p w14:paraId="03DB0709" w14:textId="77777777" w:rsidR="003B59D7" w:rsidRPr="004D10E1" w:rsidRDefault="003B59D7" w:rsidP="003B59D7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Kryteria ustalania i wzrostu wynagrodzeń. </w:t>
      </w:r>
    </w:p>
    <w:p w14:paraId="04A989F6" w14:textId="77777777" w:rsidR="003B59D7" w:rsidRPr="004D10E1" w:rsidRDefault="003B59D7" w:rsidP="003B59D7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Rola związków zawodowych. </w:t>
      </w:r>
    </w:p>
    <w:p w14:paraId="771E63DA" w14:textId="77777777" w:rsidR="003B59D7" w:rsidRPr="004D10E1" w:rsidRDefault="003B59D7" w:rsidP="003B59D7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Coroczne obowiązki informacyjne pracodawcy. </w:t>
      </w:r>
    </w:p>
    <w:p w14:paraId="63E998F4" w14:textId="77777777" w:rsidR="003B59D7" w:rsidRPr="004D10E1" w:rsidRDefault="003B59D7" w:rsidP="003B59D7">
      <w:pPr>
        <w:rPr>
          <w:rFonts w:ascii="Times New Roman" w:hAnsi="Times New Roman" w:cs="Times New Roman"/>
          <w:sz w:val="24"/>
          <w:szCs w:val="24"/>
        </w:rPr>
      </w:pPr>
    </w:p>
    <w:p w14:paraId="139DC519" w14:textId="77777777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0E1">
        <w:rPr>
          <w:rFonts w:ascii="Times New Roman" w:hAnsi="Times New Roman" w:cs="Times New Roman"/>
          <w:b/>
          <w:bCs/>
          <w:sz w:val="24"/>
          <w:szCs w:val="24"/>
        </w:rPr>
        <w:t>Moduł III. Raportowanie luki płacowej</w:t>
      </w:r>
    </w:p>
    <w:p w14:paraId="269F1E9C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Kto i kiedy będzie zobowiązany do raportowania. </w:t>
      </w:r>
    </w:p>
    <w:p w14:paraId="416607EF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Zakres wymaganych danych i sposób ich obliczania. </w:t>
      </w:r>
    </w:p>
    <w:p w14:paraId="024B3DAF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Luka płacowa i mediana wynagrodzeń. </w:t>
      </w:r>
    </w:p>
    <w:p w14:paraId="1B8A1E98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Składniki stałe i zmienne wynagrodzenia. </w:t>
      </w:r>
    </w:p>
    <w:p w14:paraId="1CC473A8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lastRenderedPageBreak/>
        <w:t xml:space="preserve">Podział danych według płci i kategorii pracowników. </w:t>
      </w:r>
    </w:p>
    <w:p w14:paraId="3795B49F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Przekazywanie informacji pracownikom, związkom zawodowym i organom nadzorczym. </w:t>
      </w:r>
    </w:p>
    <w:p w14:paraId="053F0145" w14:textId="77777777" w:rsidR="003B59D7" w:rsidRPr="004D10E1" w:rsidRDefault="003B59D7" w:rsidP="003B59D7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Obowiązki pracodawcy w przypadku stwierdzenia nieuzasadnionych różnic płacowych. </w:t>
      </w:r>
    </w:p>
    <w:p w14:paraId="5D206ECF" w14:textId="77777777" w:rsidR="003B59D7" w:rsidRPr="004D10E1" w:rsidRDefault="003B59D7" w:rsidP="003B59D7">
      <w:pPr>
        <w:rPr>
          <w:rFonts w:ascii="Times New Roman" w:hAnsi="Times New Roman" w:cs="Times New Roman"/>
          <w:sz w:val="24"/>
          <w:szCs w:val="24"/>
        </w:rPr>
      </w:pPr>
    </w:p>
    <w:p w14:paraId="4047E4A0" w14:textId="77777777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0E1">
        <w:rPr>
          <w:rFonts w:ascii="Times New Roman" w:hAnsi="Times New Roman" w:cs="Times New Roman"/>
          <w:b/>
          <w:bCs/>
          <w:sz w:val="24"/>
          <w:szCs w:val="24"/>
        </w:rPr>
        <w:t>Moduł IV. Wspólna ocena wynagrodzeń</w:t>
      </w:r>
    </w:p>
    <w:p w14:paraId="211A9768" w14:textId="77777777" w:rsidR="003B59D7" w:rsidRPr="004D10E1" w:rsidRDefault="003B59D7" w:rsidP="003B59D7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Kiedy powstaje obowiązek przeprowadzenia wspólnej oceny wynagrodzeń. </w:t>
      </w:r>
    </w:p>
    <w:p w14:paraId="142F3CFC" w14:textId="77777777" w:rsidR="003B59D7" w:rsidRPr="004D10E1" w:rsidRDefault="003B59D7" w:rsidP="003B59D7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Współpraca z przedstawicielami pracowników. </w:t>
      </w:r>
    </w:p>
    <w:p w14:paraId="73435EF8" w14:textId="77777777" w:rsidR="003B59D7" w:rsidRPr="004D10E1" w:rsidRDefault="003B59D7" w:rsidP="003B59D7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Działania naprawcze i eliminowanie nieuzasadnionych różnic płacowych. </w:t>
      </w:r>
    </w:p>
    <w:p w14:paraId="7A9F3E9C" w14:textId="77777777" w:rsidR="003B59D7" w:rsidRPr="004D10E1" w:rsidRDefault="003B59D7" w:rsidP="003B59D7">
      <w:pPr>
        <w:rPr>
          <w:rFonts w:ascii="Times New Roman" w:hAnsi="Times New Roman" w:cs="Times New Roman"/>
          <w:sz w:val="24"/>
          <w:szCs w:val="24"/>
        </w:rPr>
      </w:pPr>
    </w:p>
    <w:p w14:paraId="4A31E3E0" w14:textId="77777777" w:rsidR="003B59D7" w:rsidRPr="004D10E1" w:rsidRDefault="003B59D7" w:rsidP="003B59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0E1">
        <w:rPr>
          <w:rFonts w:ascii="Times New Roman" w:hAnsi="Times New Roman" w:cs="Times New Roman"/>
          <w:b/>
          <w:bCs/>
          <w:sz w:val="24"/>
          <w:szCs w:val="24"/>
        </w:rPr>
        <w:t>Moduł V. Wartościowanie stanowisk pracy – fundament sprawiedliwego systemu wynagradzania</w:t>
      </w:r>
    </w:p>
    <w:p w14:paraId="76FFF64B" w14:textId="77777777" w:rsidR="003B59D7" w:rsidRPr="004D10E1" w:rsidRDefault="003B59D7" w:rsidP="003B59D7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Czym jest wartościowanie stanowisk pracy i dlaczego staje się obowiązkowym elementem polityki wynagrodzeń. </w:t>
      </w:r>
    </w:p>
    <w:p w14:paraId="549886FE" w14:textId="77777777" w:rsidR="003B59D7" w:rsidRPr="004D10E1" w:rsidRDefault="003B59D7" w:rsidP="003B59D7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Kryteria wartościowania zgodnie z Dyrektywą UE 2023/970. </w:t>
      </w:r>
    </w:p>
    <w:p w14:paraId="7A7F9FE7" w14:textId="77777777" w:rsidR="003B59D7" w:rsidRPr="004D10E1" w:rsidRDefault="003B59D7" w:rsidP="003B59D7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Narzędzia i metody wartościowania stanowisk. </w:t>
      </w:r>
    </w:p>
    <w:p w14:paraId="0D2654C3" w14:textId="77777777" w:rsidR="003B59D7" w:rsidRPr="004D10E1" w:rsidRDefault="003B59D7" w:rsidP="003B59D7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 xml:space="preserve">Praktyczne przykłady budowania siatki stanowisk. </w:t>
      </w:r>
    </w:p>
    <w:p w14:paraId="52D8134E" w14:textId="18908741" w:rsidR="003B59D7" w:rsidRPr="003B59D7" w:rsidRDefault="003B59D7" w:rsidP="003B59D7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4D10E1">
        <w:rPr>
          <w:rFonts w:ascii="Times New Roman" w:hAnsi="Times New Roman" w:cs="Times New Roman"/>
          <w:sz w:val="24"/>
          <w:szCs w:val="24"/>
        </w:rPr>
        <w:t>Warsztaty – wartościowanie stanowisk na przykładach.</w:t>
      </w:r>
    </w:p>
    <w:p w14:paraId="1D4898D4" w14:textId="086D62AE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C6385D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C317438"/>
    <w:multiLevelType w:val="multilevel"/>
    <w:tmpl w:val="CCD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B75244"/>
    <w:multiLevelType w:val="multilevel"/>
    <w:tmpl w:val="9B68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0F403DD7"/>
    <w:multiLevelType w:val="multilevel"/>
    <w:tmpl w:val="33BC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BB36C8"/>
    <w:multiLevelType w:val="multilevel"/>
    <w:tmpl w:val="A1F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AE4F6D"/>
    <w:multiLevelType w:val="multilevel"/>
    <w:tmpl w:val="BEE02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0131A4"/>
    <w:multiLevelType w:val="multilevel"/>
    <w:tmpl w:val="55DE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83220E"/>
    <w:multiLevelType w:val="multilevel"/>
    <w:tmpl w:val="4A7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7D13BD"/>
    <w:multiLevelType w:val="multilevel"/>
    <w:tmpl w:val="E806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AF0665"/>
    <w:multiLevelType w:val="multilevel"/>
    <w:tmpl w:val="F086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4E27F37"/>
    <w:multiLevelType w:val="multilevel"/>
    <w:tmpl w:val="7F0A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7C71940"/>
    <w:multiLevelType w:val="multilevel"/>
    <w:tmpl w:val="A736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92E6A48"/>
    <w:multiLevelType w:val="multilevel"/>
    <w:tmpl w:val="36BA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AE5F05"/>
    <w:multiLevelType w:val="multilevel"/>
    <w:tmpl w:val="FA58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B950824"/>
    <w:multiLevelType w:val="multilevel"/>
    <w:tmpl w:val="EAF2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D215D80"/>
    <w:multiLevelType w:val="multilevel"/>
    <w:tmpl w:val="8478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483D06D2"/>
    <w:multiLevelType w:val="multilevel"/>
    <w:tmpl w:val="927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561CE8"/>
    <w:multiLevelType w:val="multilevel"/>
    <w:tmpl w:val="585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B79303B"/>
    <w:multiLevelType w:val="multilevel"/>
    <w:tmpl w:val="F4CE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714DA4"/>
    <w:multiLevelType w:val="multilevel"/>
    <w:tmpl w:val="C5CA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2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663524D"/>
    <w:multiLevelType w:val="multilevel"/>
    <w:tmpl w:val="446A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9" w15:restartNumberingAfterBreak="0">
    <w:nsid w:val="67027804"/>
    <w:multiLevelType w:val="multilevel"/>
    <w:tmpl w:val="11AE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 w15:restartNumberingAfterBreak="0">
    <w:nsid w:val="714A7B6D"/>
    <w:multiLevelType w:val="multilevel"/>
    <w:tmpl w:val="D282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7D8B1819"/>
    <w:multiLevelType w:val="multilevel"/>
    <w:tmpl w:val="66B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E775D3F"/>
    <w:multiLevelType w:val="multilevel"/>
    <w:tmpl w:val="EB4A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641310">
    <w:abstractNumId w:val="40"/>
  </w:num>
  <w:num w:numId="2" w16cid:durableId="1678653740">
    <w:abstractNumId w:val="27"/>
  </w:num>
  <w:num w:numId="3" w16cid:durableId="261382043">
    <w:abstractNumId w:val="42"/>
  </w:num>
  <w:num w:numId="4" w16cid:durableId="1520777818">
    <w:abstractNumId w:val="35"/>
  </w:num>
  <w:num w:numId="5" w16cid:durableId="1095517474">
    <w:abstractNumId w:val="29"/>
  </w:num>
  <w:num w:numId="6" w16cid:durableId="503279571">
    <w:abstractNumId w:val="50"/>
  </w:num>
  <w:num w:numId="7" w16cid:durableId="943683199">
    <w:abstractNumId w:val="47"/>
  </w:num>
  <w:num w:numId="8" w16cid:durableId="1685938094">
    <w:abstractNumId w:val="54"/>
  </w:num>
  <w:num w:numId="9" w16cid:durableId="1711299630">
    <w:abstractNumId w:val="48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52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6"/>
  </w:num>
  <w:num w:numId="17" w16cid:durableId="1045565260">
    <w:abstractNumId w:val="45"/>
  </w:num>
  <w:num w:numId="18" w16cid:durableId="134224124">
    <w:abstractNumId w:val="44"/>
  </w:num>
  <w:num w:numId="19" w16cid:durableId="1459493326">
    <w:abstractNumId w:val="53"/>
  </w:num>
  <w:num w:numId="20" w16cid:durableId="1829902598">
    <w:abstractNumId w:val="41"/>
  </w:num>
  <w:num w:numId="21" w16cid:durableId="1758211933">
    <w:abstractNumId w:val="1"/>
  </w:num>
  <w:num w:numId="22" w16cid:durableId="1355037294">
    <w:abstractNumId w:val="0"/>
  </w:num>
  <w:num w:numId="23" w16cid:durableId="230505322">
    <w:abstractNumId w:val="24"/>
  </w:num>
  <w:num w:numId="24" w16cid:durableId="489176066">
    <w:abstractNumId w:val="38"/>
  </w:num>
  <w:num w:numId="25" w16cid:durableId="16455">
    <w:abstractNumId w:val="34"/>
  </w:num>
  <w:num w:numId="26" w16cid:durableId="575821008">
    <w:abstractNumId w:val="55"/>
  </w:num>
  <w:num w:numId="27" w16cid:durableId="754938335">
    <w:abstractNumId w:val="28"/>
  </w:num>
  <w:num w:numId="28" w16cid:durableId="774205158">
    <w:abstractNumId w:val="30"/>
  </w:num>
  <w:num w:numId="29" w16cid:durableId="1317221648">
    <w:abstractNumId w:val="17"/>
  </w:num>
  <w:num w:numId="30" w16cid:durableId="1315837971">
    <w:abstractNumId w:val="49"/>
  </w:num>
  <w:num w:numId="31" w16cid:durableId="2088183535">
    <w:abstractNumId w:val="31"/>
  </w:num>
  <w:num w:numId="32" w16cid:durableId="594094236">
    <w:abstractNumId w:val="36"/>
  </w:num>
  <w:num w:numId="33" w16cid:durableId="1271737201">
    <w:abstractNumId w:val="25"/>
  </w:num>
  <w:num w:numId="34" w16cid:durableId="458960930">
    <w:abstractNumId w:val="39"/>
  </w:num>
  <w:num w:numId="35" w16cid:durableId="1702852962">
    <w:abstractNumId w:val="43"/>
  </w:num>
  <w:num w:numId="36" w16cid:durableId="2077705524">
    <w:abstractNumId w:val="51"/>
  </w:num>
  <w:num w:numId="37" w16cid:durableId="1386757128">
    <w:abstractNumId w:val="33"/>
  </w:num>
  <w:num w:numId="38" w16cid:durableId="1049455019">
    <w:abstractNumId w:val="32"/>
  </w:num>
  <w:num w:numId="39" w16cid:durableId="1144540572">
    <w:abstractNumId w:val="21"/>
  </w:num>
  <w:num w:numId="40" w16cid:durableId="202909523">
    <w:abstractNumId w:val="20"/>
  </w:num>
  <w:num w:numId="41" w16cid:durableId="1338727615">
    <w:abstractNumId w:val="37"/>
  </w:num>
  <w:num w:numId="42" w16cid:durableId="908541615">
    <w:abstractNumId w:val="23"/>
  </w:num>
  <w:num w:numId="43" w16cid:durableId="406004932">
    <w:abstractNumId w:val="56"/>
  </w:num>
  <w:num w:numId="44" w16cid:durableId="1532113643">
    <w:abstractNumId w:val="26"/>
  </w:num>
  <w:num w:numId="45" w16cid:durableId="502089496">
    <w:abstractNumId w:val="18"/>
  </w:num>
  <w:num w:numId="46" w16cid:durableId="1287203249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0C49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57401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1E6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14548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785D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C76"/>
    <w:rsid w:val="00353D9C"/>
    <w:rsid w:val="0035408E"/>
    <w:rsid w:val="0035465B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B59D7"/>
    <w:rsid w:val="003C096C"/>
    <w:rsid w:val="003C188E"/>
    <w:rsid w:val="003C2D5B"/>
    <w:rsid w:val="003D1614"/>
    <w:rsid w:val="003D28CB"/>
    <w:rsid w:val="003D42EF"/>
    <w:rsid w:val="003D5B6C"/>
    <w:rsid w:val="003D74D9"/>
    <w:rsid w:val="003D7D00"/>
    <w:rsid w:val="003E04D6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3B37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07F0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5A55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A749D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35ACB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B3533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13A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5F9C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85D"/>
    <w:rsid w:val="00C63C42"/>
    <w:rsid w:val="00C72093"/>
    <w:rsid w:val="00C72453"/>
    <w:rsid w:val="00C72A57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02AB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E7E18"/>
    <w:rsid w:val="00FF634A"/>
    <w:rsid w:val="00FF6E0A"/>
    <w:rsid w:val="00FF700F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860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780</cp:revision>
  <cp:lastPrinted>2019-04-30T11:10:00Z</cp:lastPrinted>
  <dcterms:created xsi:type="dcterms:W3CDTF">2022-08-12T10:48:00Z</dcterms:created>
  <dcterms:modified xsi:type="dcterms:W3CDTF">2026-07-17T08:58:00Z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