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7BC6CE1" w14:textId="77777777" w:rsidR="00E55763" w:rsidRPr="00AC44D7" w:rsidRDefault="00E55763" w:rsidP="00E55763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b/>
          <w:bCs/>
          <w:color w:val="EE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 xml:space="preserve">Działy </w:t>
      </w:r>
      <w:r w:rsidRPr="00AC44D7"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>Kadr</w:t>
      </w:r>
      <w:r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 xml:space="preserve"> i HR</w:t>
      </w:r>
      <w:r w:rsidRPr="00AC44D7"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 xml:space="preserve"> wobec </w:t>
      </w:r>
      <w:proofErr w:type="spellStart"/>
      <w:r w:rsidRPr="00AC44D7"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>mobbingu</w:t>
      </w:r>
      <w:proofErr w:type="spellEnd"/>
      <w:r w:rsidRPr="00AC44D7"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 xml:space="preserve"> i dyskryminacji – nowe obowiązki, procedury i odpowiedzialność pracodawcy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6685E4AE" w:rsidR="006C629D" w:rsidRPr="006E3C44" w:rsidRDefault="00AE613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7681BE44" w:rsidR="006C629D" w:rsidRPr="006E3C44" w:rsidRDefault="005B5A5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B5A53">
              <w:rPr>
                <w:rFonts w:ascii="Times New Roman" w:hAnsi="Times New Roman" w:cs="Times New Roman"/>
                <w:b/>
              </w:rPr>
              <w:t xml:space="preserve">Iwona </w:t>
            </w:r>
            <w:proofErr w:type="spellStart"/>
            <w:r w:rsidRPr="005B5A53">
              <w:rPr>
                <w:rFonts w:ascii="Times New Roman" w:hAnsi="Times New Roman" w:cs="Times New Roman"/>
                <w:b/>
              </w:rPr>
              <w:t>Wołkiewicz</w:t>
            </w:r>
            <w:proofErr w:type="spellEnd"/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2282F3AA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AE613E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AE613E">
              <w:rPr>
                <w:rFonts w:ascii="Times New Roman" w:hAnsi="Times New Roman" w:cs="Times New Roman"/>
                <w:b/>
              </w:rPr>
              <w:t>10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0FCF8717" w:rsidR="006C629D" w:rsidRPr="006E3C44" w:rsidRDefault="005B5A5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B5A53">
              <w:rPr>
                <w:rFonts w:ascii="Times New Roman" w:hAnsi="Times New Roman" w:cs="Times New Roman"/>
                <w:b/>
                <w:color w:val="212121"/>
              </w:rPr>
              <w:t xml:space="preserve">Iwona </w:t>
            </w:r>
            <w:proofErr w:type="spellStart"/>
            <w:r w:rsidRPr="005B5A53">
              <w:rPr>
                <w:rFonts w:ascii="Times New Roman" w:hAnsi="Times New Roman" w:cs="Times New Roman"/>
                <w:b/>
                <w:color w:val="212121"/>
              </w:rPr>
              <w:t>Wołkiewicz</w:t>
            </w:r>
            <w:proofErr w:type="spellEnd"/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301ADD88" w:rsidR="006C629D" w:rsidRPr="006E3C44" w:rsidRDefault="00AE613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C629D" w:rsidRPr="006E3C44">
              <w:rPr>
                <w:rFonts w:ascii="Times New Roman" w:hAnsi="Times New Roman" w:cs="Times New Roman"/>
                <w:b/>
              </w:rPr>
              <w:t>6.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2402F3F5" w:rsidR="006C629D" w:rsidRPr="006E3C44" w:rsidRDefault="005B5A5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B5A53">
              <w:rPr>
                <w:rFonts w:ascii="Times New Roman" w:hAnsi="Times New Roman" w:cs="Times New Roman"/>
                <w:b/>
              </w:rPr>
              <w:t xml:space="preserve">Iwona </w:t>
            </w:r>
            <w:proofErr w:type="spellStart"/>
            <w:r w:rsidRPr="005B5A53">
              <w:rPr>
                <w:rFonts w:ascii="Times New Roman" w:hAnsi="Times New Roman" w:cs="Times New Roman"/>
                <w:b/>
              </w:rPr>
              <w:t>Wołkiewicz</w:t>
            </w:r>
            <w:proofErr w:type="spellEnd"/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C284BE5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B246D1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21FBC116" w14:textId="77777777" w:rsidR="00F31029" w:rsidRDefault="00EF1667" w:rsidP="00F3102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F31029">
        <w:rPr>
          <w:rFonts w:ascii="Times New Roman" w:hAnsi="Times New Roman" w:cs="Times New Roman"/>
          <w:b/>
          <w:color w:val="EE0000"/>
        </w:rPr>
        <w:t>Iwona Wołkiewicz</w:t>
      </w:r>
      <w:r w:rsidR="00F31029">
        <w:rPr>
          <w:rFonts w:ascii="Times New Roman" w:hAnsi="Times New Roman" w:cs="Times New Roman"/>
          <w:bCs/>
        </w:rPr>
        <w:t xml:space="preserve"> - Ekspertka prawa pracy i praktyk HR z ponad 15-letnim doświadczeniem w dużych międzynarodowych firmach. Wykładowczyni studiów podyplomowych, autorka publikacji oraz trenerka ceniona za praktyczne podejście, jasny przekaz i wykorzystanie rzeczywistych przykładów z codziennej pracy.</w:t>
      </w:r>
      <w:r w:rsidR="00F31029">
        <w:rPr>
          <w:rFonts w:ascii="Times New Roman" w:eastAsia="Calibri" w:hAnsi="Times New Roman" w:cs="Times New Roman"/>
          <w:b/>
          <w:i/>
          <w:iCs/>
          <w:lang w:eastAsia="pl-PL"/>
        </w:rPr>
        <w:t xml:space="preserve"> </w:t>
      </w:r>
    </w:p>
    <w:p w14:paraId="488BDF39" w14:textId="2C54E858" w:rsidR="00870A68" w:rsidRPr="006C629D" w:rsidRDefault="00B21001" w:rsidP="00F3102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8756A63" w14:textId="77777777" w:rsidR="00E55763" w:rsidRPr="00AC44D7" w:rsidRDefault="00E55763" w:rsidP="00E55763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b/>
          <w:bCs/>
          <w:color w:val="EE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 xml:space="preserve">Działy </w:t>
      </w:r>
      <w:r w:rsidRPr="00AC44D7"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>Kadr</w:t>
      </w:r>
      <w:r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 xml:space="preserve"> i HR</w:t>
      </w:r>
      <w:r w:rsidRPr="00AC44D7">
        <w:rPr>
          <w:rFonts w:ascii="Times New Roman" w:eastAsia="Times New Roman" w:hAnsi="Times New Roman"/>
          <w:b/>
          <w:bCs/>
          <w:color w:val="EE0000"/>
          <w:sz w:val="28"/>
          <w:szCs w:val="28"/>
        </w:rPr>
        <w:t xml:space="preserve"> wobec mobbingu i dyskryminacji – nowe obowiązki, procedury i odpowiedzialność pracodawcy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3CA16B15" w14:textId="77777777" w:rsidR="00E55763" w:rsidRPr="00AC44D7" w:rsidRDefault="00E55763" w:rsidP="00E557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  <w:t>Cel szkolenia</w:t>
      </w:r>
    </w:p>
    <w:p w14:paraId="1795D84A" w14:textId="77777777" w:rsidR="00E55763" w:rsidRPr="00AC44D7" w:rsidRDefault="00E55763" w:rsidP="00E557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>Przygotowanie działów kadr do realizacji obowiązków związanych z przeciwdziałaniem mobbingowi i dyskryminacji oraz wdrażania skutecznych procedur wewnętrznych.</w:t>
      </w:r>
    </w:p>
    <w:p w14:paraId="6A974DF8" w14:textId="77777777" w:rsidR="00E55763" w:rsidRPr="00AC44D7" w:rsidRDefault="00E55763" w:rsidP="00E557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  <w:t>Korzyści z udziału</w:t>
      </w:r>
    </w:p>
    <w:p w14:paraId="4997210C" w14:textId="77777777" w:rsidR="00E55763" w:rsidRPr="00AC44D7" w:rsidRDefault="00E55763" w:rsidP="00E557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>Dowiesz się, jak prawidłowo przygotować procedury, prowadzić działania prewencyjne oraz wspierać pracodawcę w ograniczaniu ryzyka prawnego.</w:t>
      </w:r>
    </w:p>
    <w:p w14:paraId="45DBB029" w14:textId="77777777" w:rsidR="00E55763" w:rsidRPr="00AC44D7" w:rsidRDefault="00E55763" w:rsidP="00E557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  <w:t>Adresaci szkolenia</w:t>
      </w:r>
    </w:p>
    <w:p w14:paraId="1801F6D4" w14:textId="77777777" w:rsidR="00E55763" w:rsidRPr="00AC44D7" w:rsidRDefault="00E55763" w:rsidP="00E557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>Pracownicy działów kadr i HR, specjaliści ds. personalnych, pracodawcy oraz osoby odpowiedzialne za politykę antymobbingową i antydyskryminacyjną.</w:t>
      </w:r>
    </w:p>
    <w:p w14:paraId="1E66E601" w14:textId="77777777" w:rsidR="00E55763" w:rsidRPr="00AC44D7" w:rsidRDefault="00E55763" w:rsidP="00E557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</w:p>
    <w:p w14:paraId="6C9276AC" w14:textId="77777777" w:rsidR="00E55763" w:rsidRPr="00AC44D7" w:rsidRDefault="00E55763" w:rsidP="00E55763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  <w:t>I. Mobbing i dyskryminacja – obowiązki działu kadr</w:t>
      </w:r>
    </w:p>
    <w:p w14:paraId="49DF9B2C" w14:textId="77777777" w:rsidR="00E55763" w:rsidRPr="00AC44D7" w:rsidRDefault="00E55763" w:rsidP="00E55763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Dyskryminacja – otwarty katalog przesłanek. </w:t>
      </w:r>
    </w:p>
    <w:p w14:paraId="2250B609" w14:textId="77777777" w:rsidR="00E55763" w:rsidRPr="00AC44D7" w:rsidRDefault="00E55763" w:rsidP="00E55763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Mobbing – warunki uznania zachowań za mobbing oraz nowa definicja. </w:t>
      </w:r>
    </w:p>
    <w:p w14:paraId="0D6442F3" w14:textId="77777777" w:rsidR="00E55763" w:rsidRPr="00AC44D7" w:rsidRDefault="00E55763" w:rsidP="00E55763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Katalog zachowań mobbingujących określony w Kodeksie pracy. </w:t>
      </w:r>
    </w:p>
    <w:p w14:paraId="5A692949" w14:textId="77777777" w:rsidR="00E55763" w:rsidRPr="00AC44D7" w:rsidRDefault="00E55763" w:rsidP="00E55763">
      <w:pPr>
        <w:widowControl/>
        <w:numPr>
          <w:ilvl w:val="0"/>
          <w:numId w:val="31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Rola działu kadr w przeciwdziałaniu mobbingowi i dyskryminacji. </w:t>
      </w:r>
    </w:p>
    <w:p w14:paraId="0F61BA87" w14:textId="77777777" w:rsidR="00E55763" w:rsidRPr="00AC44D7" w:rsidRDefault="00E55763" w:rsidP="00E55763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  <w:t>II. Działania prewencyjne i obowiązki pracodawcy</w:t>
      </w:r>
    </w:p>
    <w:p w14:paraId="333D7AD3" w14:textId="77777777" w:rsidR="00E55763" w:rsidRPr="00AC44D7" w:rsidRDefault="00E55763" w:rsidP="00E55763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Działania prewencyjne, wykrywanie, reagowanie oraz działania naprawcze. </w:t>
      </w:r>
    </w:p>
    <w:p w14:paraId="589DC9D1" w14:textId="77777777" w:rsidR="00E55763" w:rsidRPr="00AC44D7" w:rsidRDefault="00E55763" w:rsidP="00E55763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Wsparcie osoby mobbingowanej – obowiązki pracodawcy. </w:t>
      </w:r>
    </w:p>
    <w:p w14:paraId="3854369C" w14:textId="77777777" w:rsidR="00E55763" w:rsidRPr="00AC44D7" w:rsidRDefault="00E55763" w:rsidP="00E55763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Obowiązek przygotowania regulacji i procedur dotyczących ochrony godności, dóbr osobistych, równego traktowania, przeciwdziałania dyskryminacji i mobbingowi. </w:t>
      </w:r>
    </w:p>
    <w:p w14:paraId="11BFD6CA" w14:textId="77777777" w:rsidR="00E55763" w:rsidRPr="00AC44D7" w:rsidRDefault="00E55763" w:rsidP="00E55763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Działania prewencyjne w regulaminie pracy. </w:t>
      </w:r>
    </w:p>
    <w:p w14:paraId="079FCE3D" w14:textId="77777777" w:rsidR="00E55763" w:rsidRPr="00AC44D7" w:rsidRDefault="00E55763" w:rsidP="00E55763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Ocena ryzyka wystąpienia zachowań niepożądanych. </w:t>
      </w:r>
    </w:p>
    <w:p w14:paraId="18B7BF3F" w14:textId="77777777" w:rsidR="00E55763" w:rsidRPr="00AC44D7" w:rsidRDefault="00E55763" w:rsidP="00E55763">
      <w:pPr>
        <w:widowControl/>
        <w:numPr>
          <w:ilvl w:val="0"/>
          <w:numId w:val="32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Działania edukacyjne w organizacji. </w:t>
      </w:r>
    </w:p>
    <w:p w14:paraId="5C30997E" w14:textId="77777777" w:rsidR="00E55763" w:rsidRPr="00AC44D7" w:rsidRDefault="00E55763" w:rsidP="00E55763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  <w:t>III. Procedury zgłoszeń i postępowanie wyjaśniające</w:t>
      </w:r>
    </w:p>
    <w:p w14:paraId="4F7D6D29" w14:textId="77777777" w:rsidR="00E55763" w:rsidRPr="00AC44D7" w:rsidRDefault="00E55763" w:rsidP="00E55763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Kanały zgłaszania działań niepożądanych – organizacja systemu zgłoszeń. </w:t>
      </w:r>
    </w:p>
    <w:p w14:paraId="19D19770" w14:textId="77777777" w:rsidR="00E55763" w:rsidRPr="00AC44D7" w:rsidRDefault="00E55763" w:rsidP="00E55763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Komisja ds. rozpatrywania zgłoszeń działań niepożądanych. </w:t>
      </w:r>
    </w:p>
    <w:p w14:paraId="18AB597D" w14:textId="77777777" w:rsidR="00E55763" w:rsidRPr="00AC44D7" w:rsidRDefault="00E55763" w:rsidP="00E55763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Tworzenie procedur antymobbingowych i antydyskryminacyjnych. </w:t>
      </w:r>
    </w:p>
    <w:p w14:paraId="0094D3ED" w14:textId="77777777" w:rsidR="00E55763" w:rsidRPr="00AC44D7" w:rsidRDefault="00E55763" w:rsidP="00E55763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lastRenderedPageBreak/>
        <w:t xml:space="preserve">Rola działu kadr we wsparciu osoby mobbingowanej. </w:t>
      </w:r>
    </w:p>
    <w:p w14:paraId="6892D175" w14:textId="77777777" w:rsidR="00E55763" w:rsidRPr="00AC44D7" w:rsidRDefault="00E55763" w:rsidP="00E55763">
      <w:pPr>
        <w:widowControl/>
        <w:numPr>
          <w:ilvl w:val="0"/>
          <w:numId w:val="33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Współpraca działu kadr z kadrą kierowniczą we wczesnym wykrywaniu niepożądanych zachowań. </w:t>
      </w:r>
    </w:p>
    <w:p w14:paraId="637A75B5" w14:textId="77777777" w:rsidR="00E55763" w:rsidRPr="00AC44D7" w:rsidRDefault="00E55763" w:rsidP="00E55763">
      <w:pPr>
        <w:spacing w:before="100" w:beforeAutospacing="1" w:after="100" w:afterAutospacing="1"/>
        <w:jc w:val="both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</w:p>
    <w:p w14:paraId="6C027DE3" w14:textId="77777777" w:rsidR="00E55763" w:rsidRPr="00AC44D7" w:rsidRDefault="00E55763" w:rsidP="00E55763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b/>
          <w:bCs/>
          <w:noProof/>
          <w:sz w:val="24"/>
          <w:szCs w:val="24"/>
          <w:lang w:eastAsia="pl-PL"/>
        </w:rPr>
        <w:t>IV. Odpowiedzialność i konsekwencje naruszeń</w:t>
      </w:r>
    </w:p>
    <w:p w14:paraId="36A46533" w14:textId="77777777" w:rsidR="00E55763" w:rsidRPr="00AC44D7" w:rsidRDefault="00E55763" w:rsidP="00E55763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Sankcje dla pracodawcy wynikające z przepisów Kodeksu pracy, Kodeksu cywilnego i Kodeksu karnego. </w:t>
      </w:r>
    </w:p>
    <w:p w14:paraId="5BCB398E" w14:textId="77777777" w:rsidR="00E55763" w:rsidRPr="00AC44D7" w:rsidRDefault="00E55763" w:rsidP="00E55763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 xml:space="preserve">Odpowiedzialność karna, cywilna i dyscyplinarna osób stosujących mobbing lub dyskryminację. </w:t>
      </w:r>
    </w:p>
    <w:p w14:paraId="1E6BE93C" w14:textId="77777777" w:rsidR="00E55763" w:rsidRPr="00AC44D7" w:rsidRDefault="00E55763" w:rsidP="00E55763">
      <w:pPr>
        <w:widowControl/>
        <w:numPr>
          <w:ilvl w:val="0"/>
          <w:numId w:val="34"/>
        </w:numPr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/>
          <w:noProof/>
          <w:sz w:val="24"/>
          <w:szCs w:val="24"/>
          <w:lang w:eastAsia="pl-PL"/>
        </w:rPr>
      </w:pPr>
      <w:r w:rsidRPr="00AC44D7">
        <w:rPr>
          <w:rFonts w:ascii="Times New Roman" w:eastAsia="Times New Roman" w:hAnsi="Times New Roman"/>
          <w:noProof/>
          <w:sz w:val="24"/>
          <w:szCs w:val="24"/>
          <w:lang w:eastAsia="pl-PL"/>
        </w:rPr>
        <w:t>Eliminowanie stereotypów i uprzedzeń w miejscu pracy.</w:t>
      </w:r>
    </w:p>
    <w:p w14:paraId="2CDF64CF" w14:textId="77777777" w:rsidR="00E55763" w:rsidRDefault="00E55763" w:rsidP="00E557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233A8D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D633E0F"/>
    <w:multiLevelType w:val="multilevel"/>
    <w:tmpl w:val="2E36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29D53BF"/>
    <w:multiLevelType w:val="multilevel"/>
    <w:tmpl w:val="2092D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385B4B16"/>
    <w:multiLevelType w:val="multilevel"/>
    <w:tmpl w:val="9A94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203923"/>
    <w:multiLevelType w:val="multilevel"/>
    <w:tmpl w:val="669C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2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5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0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4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0"/>
  </w:num>
  <w:num w:numId="2" w16cid:durableId="1678653740">
    <w:abstractNumId w:val="23"/>
  </w:num>
  <w:num w:numId="3" w16cid:durableId="261382043">
    <w:abstractNumId w:val="32"/>
  </w:num>
  <w:num w:numId="4" w16cid:durableId="1520777818">
    <w:abstractNumId w:val="27"/>
  </w:num>
  <w:num w:numId="5" w16cid:durableId="1095517474">
    <w:abstractNumId w:val="24"/>
  </w:num>
  <w:num w:numId="6" w16cid:durableId="503279571">
    <w:abstractNumId w:val="40"/>
  </w:num>
  <w:num w:numId="7" w16cid:durableId="943683199">
    <w:abstractNumId w:val="38"/>
  </w:num>
  <w:num w:numId="8" w16cid:durableId="1685938094">
    <w:abstractNumId w:val="44"/>
  </w:num>
  <w:num w:numId="9" w16cid:durableId="1711299630">
    <w:abstractNumId w:val="39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42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7"/>
  </w:num>
  <w:num w:numId="17" w16cid:durableId="1045565260">
    <w:abstractNumId w:val="35"/>
  </w:num>
  <w:num w:numId="18" w16cid:durableId="134224124">
    <w:abstractNumId w:val="34"/>
  </w:num>
  <w:num w:numId="19" w16cid:durableId="1459493326">
    <w:abstractNumId w:val="43"/>
  </w:num>
  <w:num w:numId="20" w16cid:durableId="1829902598">
    <w:abstractNumId w:val="31"/>
  </w:num>
  <w:num w:numId="21" w16cid:durableId="1149709086">
    <w:abstractNumId w:val="28"/>
  </w:num>
  <w:num w:numId="22" w16cid:durableId="662661966">
    <w:abstractNumId w:val="29"/>
  </w:num>
  <w:num w:numId="23" w16cid:durableId="1399590505">
    <w:abstractNumId w:val="36"/>
  </w:num>
  <w:num w:numId="24" w16cid:durableId="2038696968">
    <w:abstractNumId w:val="19"/>
  </w:num>
  <w:num w:numId="25" w16cid:durableId="755516937">
    <w:abstractNumId w:val="33"/>
  </w:num>
  <w:num w:numId="26" w16cid:durableId="1818523141">
    <w:abstractNumId w:val="21"/>
  </w:num>
  <w:num w:numId="27" w16cid:durableId="638463559">
    <w:abstractNumId w:val="41"/>
  </w:num>
  <w:num w:numId="28" w16cid:durableId="1468863311">
    <w:abstractNumId w:val="22"/>
  </w:num>
  <w:num w:numId="29" w16cid:durableId="1758211933">
    <w:abstractNumId w:val="1"/>
  </w:num>
  <w:num w:numId="30" w16cid:durableId="1355037294">
    <w:abstractNumId w:val="0"/>
  </w:num>
  <w:num w:numId="31" w16cid:durableId="742488006">
    <w:abstractNumId w:val="20"/>
  </w:num>
  <w:num w:numId="32" w16cid:durableId="2062753910">
    <w:abstractNumId w:val="26"/>
  </w:num>
  <w:num w:numId="33" w16cid:durableId="1727140475">
    <w:abstractNumId w:val="17"/>
  </w:num>
  <w:num w:numId="34" w16cid:durableId="1211071875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QCbNpXJSldFX47TFTRIE18BhKxiS+0QHyTVsM/vFF7ecB2HvXB7bw8Kj+W7HjNswtv/CnhWrx5VUL1i5kio+CQ==" w:salt="AoeLGmOYOL9qV+hCizqnF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3B3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3A8D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6510D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5A53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44CEA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02FC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13E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1001"/>
    <w:rsid w:val="00B232A0"/>
    <w:rsid w:val="00B23ADA"/>
    <w:rsid w:val="00B24484"/>
    <w:rsid w:val="00B24489"/>
    <w:rsid w:val="00B246D1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27C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55763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029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73F1D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3</Pages>
  <Words>827</Words>
  <Characters>4963</Characters>
  <Application>Microsoft Office Word</Application>
  <DocSecurity>8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767</cp:revision>
  <cp:lastPrinted>2019-04-30T11:10:00Z</cp:lastPrinted>
  <dcterms:created xsi:type="dcterms:W3CDTF">2022-08-12T10:48:00Z</dcterms:created>
  <dcterms:modified xsi:type="dcterms:W3CDTF">2026-07-15T08:34:00Z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