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F559E8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5978CAFE" w14:textId="0F8395B5" w:rsidR="00F559E8" w:rsidRPr="00F559E8" w:rsidRDefault="00F559E8" w:rsidP="00F559E8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</w:pPr>
      <w:bookmarkStart w:id="0" w:name="_Hlk235426207"/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 xml:space="preserve">Czas pracy 2026 dla zaawansowanych – praktyczne rozwiązania dla działów </w:t>
      </w:r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br/>
      </w:r>
      <w:r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 xml:space="preserve"> kadr ,  HR </w:t>
      </w:r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>i kierowników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7C21AA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0262F241" w14:textId="77777777" w:rsidTr="007C21AA">
        <w:tc>
          <w:tcPr>
            <w:tcW w:w="1060" w:type="pct"/>
          </w:tcPr>
          <w:p w14:paraId="098AE4A5" w14:textId="203908EC" w:rsidR="006C629D" w:rsidRPr="006E3C44" w:rsidRDefault="007C21AA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 w:rsidR="0036590B"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7083EEE" w14:textId="6BB86C8A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522A21C1" w14:textId="77777777" w:rsidTr="007C21AA">
        <w:tc>
          <w:tcPr>
            <w:tcW w:w="1060" w:type="pct"/>
          </w:tcPr>
          <w:p w14:paraId="28F44729" w14:textId="56D7735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06.</w:t>
            </w:r>
            <w:r w:rsidR="0036590B">
              <w:rPr>
                <w:rFonts w:ascii="Times New Roman" w:hAnsi="Times New Roman" w:cs="Times New Roman"/>
                <w:b/>
              </w:rPr>
              <w:t>11</w:t>
            </w:r>
            <w:r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48391D69" w14:textId="433493B3" w:rsidR="006C629D" w:rsidRPr="006E3C44" w:rsidRDefault="0036590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6C629D" w:rsidRPr="006C629D" w14:paraId="7DE6D388" w14:textId="77777777" w:rsidTr="007C21AA">
        <w:tc>
          <w:tcPr>
            <w:tcW w:w="1060" w:type="pct"/>
          </w:tcPr>
          <w:p w14:paraId="0ED006FA" w14:textId="6194C0A3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12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5DA86F5F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ermStart w:id="1362388533" w:edGrp="everyone"/>
            <w:permEnd w:id="1362388533"/>
          </w:p>
        </w:tc>
        <w:tc>
          <w:tcPr>
            <w:tcW w:w="1052" w:type="pct"/>
          </w:tcPr>
          <w:p w14:paraId="21C58573" w14:textId="238F73D7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9.00-12.00</w:t>
            </w:r>
          </w:p>
        </w:tc>
        <w:tc>
          <w:tcPr>
            <w:tcW w:w="1251" w:type="pct"/>
          </w:tcPr>
          <w:p w14:paraId="0B3D9CDF" w14:textId="5E77CAA9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9D62DF" w14:textId="7B284BBE" w:rsidR="006C629D" w:rsidRPr="006C629D" w:rsidRDefault="0036590B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78F8A69E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440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28D22DC" w14:textId="77777777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                 </w:t>
      </w:r>
    </w:p>
    <w:p w14:paraId="488BDF39" w14:textId="57061072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797C88" w14:textId="15EDDAB2" w:rsidR="00AE0A67" w:rsidRDefault="00AE0A67" w:rsidP="00AE0A67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7FE5B3D2" w14:textId="263A0A6C" w:rsidR="00137DFD" w:rsidRPr="00F85206" w:rsidRDefault="00F559E8" w:rsidP="00F85206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</w:pPr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 xml:space="preserve">Czas pracy 2026 dla zaawansowanych – praktyczne rozwiązania dla działów </w:t>
      </w:r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br/>
      </w:r>
      <w:r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 xml:space="preserve"> kadr ,  HR </w:t>
      </w:r>
      <w:r w:rsidRPr="00F559E8">
        <w:rPr>
          <w:rFonts w:ascii="Times New Roman" w:eastAsia="Aptos" w:hAnsi="Times New Roman" w:cs="Times New Roman"/>
          <w:b/>
          <w:bCs/>
          <w:color w:val="EE0000"/>
          <w:kern w:val="0"/>
          <w:sz w:val="28"/>
          <w:szCs w:val="28"/>
        </w:rPr>
        <w:t>i kierowników</w:t>
      </w:r>
    </w:p>
    <w:p w14:paraId="36BFDA54" w14:textId="77777777" w:rsidR="00F559E8" w:rsidRDefault="00F559E8" w:rsidP="00D35437">
      <w:pPr>
        <w:spacing w:after="0"/>
        <w:rPr>
          <w:rFonts w:ascii="Times New Roman" w:eastAsiaTheme="minorHAnsi" w:hAnsi="Times New Roman" w:cs="Times New Roman"/>
          <w:b/>
          <w:bCs/>
          <w:kern w:val="0"/>
        </w:rPr>
      </w:pPr>
    </w:p>
    <w:p w14:paraId="18ED37CF" w14:textId="77777777" w:rsidR="00F559E8" w:rsidRPr="000D5B2E" w:rsidRDefault="00F559E8" w:rsidP="00F559E8">
      <w:pPr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Szkolenie ma charakter zaawansowany i jest przeznaczone dla osób posiadających podstawową wiedzę z zakresu czasu pracy oraz praktycznie zajmujących się planowaniem, ewidencjonowaniem i rozliczaniem czasu pracy pracowników.</w:t>
      </w:r>
    </w:p>
    <w:p w14:paraId="5F82CAD4" w14:textId="77777777" w:rsidR="00F559E8" w:rsidRPr="00846412" w:rsidRDefault="00F559E8" w:rsidP="00F559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>Szkolenie dedykowane dla:</w:t>
      </w:r>
    </w:p>
    <w:p w14:paraId="37ABFD8F" w14:textId="77777777" w:rsidR="00F559E8" w:rsidRPr="00846412" w:rsidRDefault="00F559E8" w:rsidP="00F559E8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działów Kadr i Płac, </w:t>
      </w:r>
    </w:p>
    <w:p w14:paraId="5C2B28EB" w14:textId="77777777" w:rsidR="00F559E8" w:rsidRPr="00846412" w:rsidRDefault="00F559E8" w:rsidP="00F559E8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działów HR, </w:t>
      </w:r>
    </w:p>
    <w:p w14:paraId="7ECDB4A1" w14:textId="77777777" w:rsidR="00F559E8" w:rsidRPr="00846412" w:rsidRDefault="00F559E8" w:rsidP="00F559E8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pracodawców, </w:t>
      </w:r>
    </w:p>
    <w:p w14:paraId="34978EF5" w14:textId="77777777" w:rsidR="00F559E8" w:rsidRPr="00846412" w:rsidRDefault="00F559E8" w:rsidP="00F559E8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kadry kierowniczej, </w:t>
      </w:r>
    </w:p>
    <w:p w14:paraId="2A8706D6" w14:textId="21EA03DD" w:rsidR="00F559E8" w:rsidRPr="00C41C9D" w:rsidRDefault="00F559E8" w:rsidP="00C41C9D">
      <w:pPr>
        <w:widowControl/>
        <w:numPr>
          <w:ilvl w:val="0"/>
          <w:numId w:val="31"/>
        </w:numPr>
        <w:suppressAutoHyphens w:val="0"/>
        <w:autoSpaceDN/>
        <w:spacing w:after="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846412">
        <w:rPr>
          <w:rFonts w:ascii="Times New Roman" w:hAnsi="Times New Roman" w:cs="Times New Roman"/>
          <w:sz w:val="24"/>
          <w:szCs w:val="24"/>
        </w:rPr>
        <w:t xml:space="preserve">osób planujących, polecających i rozliczających pracę w godzinach nadliczbowych. </w:t>
      </w:r>
    </w:p>
    <w:p w14:paraId="191E1BD5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 xml:space="preserve">1. Kto odpowiada za prawidłowe planowanie i rozliczanie czasu pracy pracowników </w:t>
      </w:r>
    </w:p>
    <w:p w14:paraId="331E76EC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- Kto w zakładzie powinien wypełniać ewidencję czasu pracy pracowników?</w:t>
      </w:r>
      <w:r w:rsidRPr="000D5B2E">
        <w:rPr>
          <w:rFonts w:ascii="Times New Roman" w:hAnsi="Times New Roman" w:cs="Times New Roman"/>
          <w:sz w:val="24"/>
          <w:szCs w:val="24"/>
        </w:rPr>
        <w:br/>
        <w:t>- Czy pracownik kadr odpowiada za ewidencje czasu pracy czy kierownik ?</w:t>
      </w:r>
      <w:r w:rsidRPr="000D5B2E">
        <w:rPr>
          <w:rFonts w:ascii="Times New Roman" w:hAnsi="Times New Roman" w:cs="Times New Roman"/>
          <w:sz w:val="24"/>
          <w:szCs w:val="24"/>
        </w:rPr>
        <w:br/>
        <w:t>- Kogo ukarze PIP za błędne sporządzanie ewidencji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Jaki wzór ewidencji czasu pracy stosować aby spełnić aktualne wymogi?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Siła wyższa, urlop opiekuńczy, praca zdalna w ewidencji czasu pracy. </w:t>
      </w:r>
      <w:r w:rsidRPr="000D5B2E">
        <w:rPr>
          <w:rFonts w:ascii="Times New Roman" w:hAnsi="Times New Roman" w:cs="Times New Roman"/>
          <w:sz w:val="24"/>
          <w:szCs w:val="24"/>
        </w:rPr>
        <w:br/>
        <w:t>- Czy roczne karty ewidencji czasu pracy nadal są zgodne z przepisami – czy muszą być miesięczne?</w:t>
      </w:r>
      <w:r w:rsidRPr="000D5B2E">
        <w:rPr>
          <w:rFonts w:ascii="Times New Roman" w:hAnsi="Times New Roman" w:cs="Times New Roman"/>
          <w:sz w:val="24"/>
          <w:szCs w:val="24"/>
        </w:rPr>
        <w:br/>
        <w:t>- Konieczność ewidencjonowania godziny rozpoczęcia i zakończenia pracy – czy również dla pracowników o stałym rozkładzie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Jak prawidłowo ewidencjonować godziny nadliczbowe?</w:t>
      </w:r>
      <w:r w:rsidRPr="000D5B2E">
        <w:rPr>
          <w:rFonts w:ascii="Times New Roman" w:hAnsi="Times New Roman" w:cs="Times New Roman"/>
          <w:sz w:val="24"/>
          <w:szCs w:val="24"/>
        </w:rPr>
        <w:br/>
        <w:t>- Czy pracownikom zarządzającym i kierownikom ewidencjonować godziny nadliczbowe?</w:t>
      </w:r>
      <w:r w:rsidRPr="000D5B2E">
        <w:rPr>
          <w:rFonts w:ascii="Times New Roman" w:hAnsi="Times New Roman" w:cs="Times New Roman"/>
          <w:sz w:val="24"/>
          <w:szCs w:val="24"/>
        </w:rPr>
        <w:br/>
        <w:t>- Czy jest coś takiego jak nienormowany czas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Konieczność wskazywana z jakiego tytułu pracownik otrzymał dzień wolny, nawet gdy jest to sobota lub niedziela.</w:t>
      </w:r>
      <w:r w:rsidRPr="000D5B2E">
        <w:rPr>
          <w:rFonts w:ascii="Times New Roman" w:hAnsi="Times New Roman" w:cs="Times New Roman"/>
          <w:sz w:val="24"/>
          <w:szCs w:val="24"/>
        </w:rPr>
        <w:br/>
        <w:t>- Konieczność wskazywania przy urlopach wypoczynkowych i chorobach liczby godzin nieobecności.</w:t>
      </w:r>
      <w:r w:rsidRPr="000D5B2E">
        <w:rPr>
          <w:rFonts w:ascii="Times New Roman" w:hAnsi="Times New Roman" w:cs="Times New Roman"/>
          <w:sz w:val="24"/>
          <w:szCs w:val="24"/>
        </w:rPr>
        <w:br/>
        <w:t>- Konieczność ewidencjonowania w ewidencji czasu pracy godzin wyjść prywatnych.</w:t>
      </w:r>
      <w:r w:rsidRPr="000D5B2E">
        <w:rPr>
          <w:rFonts w:ascii="Times New Roman" w:hAnsi="Times New Roman" w:cs="Times New Roman"/>
          <w:sz w:val="24"/>
          <w:szCs w:val="24"/>
        </w:rPr>
        <w:br/>
        <w:t>- Zamieszczanie w karcie ewidencji szczegółowych danych na temat dyżurów pracowniczych.</w:t>
      </w:r>
      <w:r w:rsidRPr="000D5B2E">
        <w:rPr>
          <w:rFonts w:ascii="Times New Roman" w:hAnsi="Times New Roman" w:cs="Times New Roman"/>
          <w:sz w:val="24"/>
          <w:szCs w:val="24"/>
        </w:rPr>
        <w:br/>
        <w:t>- Czy pracownik musi podpisać kartę ewidencji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ewidencja może być przechowywana w formie elektronicznej.</w:t>
      </w:r>
      <w:r w:rsidRPr="000D5B2E">
        <w:rPr>
          <w:rFonts w:ascii="Times New Roman" w:hAnsi="Times New Roman" w:cs="Times New Roman"/>
          <w:sz w:val="24"/>
          <w:szCs w:val="24"/>
        </w:rPr>
        <w:br/>
        <w:t>- Czy przechowywanie ewidencji w plikach w komputerze oznacza, że jest ona elektroniczna?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Jak ma wyglądać prawidłowy wzór ewidencji czasu pracy – 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t>WZÓR dla uczestników szkolenia!</w:t>
      </w:r>
    </w:p>
    <w:p w14:paraId="32C50C95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>2. Dokumentacja z zakresu czasu pracy pracownika– kto za nią odpowiada ?</w:t>
      </w:r>
    </w:p>
    <w:p w14:paraId="4C808998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lastRenderedPageBreak/>
        <w:t>- Czy pracodawca musi założyć odrębna teczkę (segregator) dla każdego pracownika na dokumenty z zakresu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Czy grafiki czasu pracy należy przechowywać w dokumentacji ze stosunku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Czy grafiki czasu pracy mogą być przechowywane poza dokumentacją pracowniczą u kierowników?</w:t>
      </w:r>
      <w:r w:rsidRPr="000D5B2E">
        <w:rPr>
          <w:rFonts w:ascii="Times New Roman" w:hAnsi="Times New Roman" w:cs="Times New Roman"/>
          <w:sz w:val="24"/>
          <w:szCs w:val="24"/>
        </w:rPr>
        <w:br/>
        <w:t>- Czy dział kadr ma kontrolować grafiki sporządzane przez kierowników?</w:t>
      </w:r>
      <w:r w:rsidRPr="000D5B2E">
        <w:rPr>
          <w:rFonts w:ascii="Times New Roman" w:hAnsi="Times New Roman" w:cs="Times New Roman"/>
          <w:sz w:val="24"/>
          <w:szCs w:val="24"/>
        </w:rPr>
        <w:br/>
        <w:t>- Czy grafik musi być podpisany przez pracownika?</w:t>
      </w:r>
      <w:r w:rsidRPr="000D5B2E">
        <w:rPr>
          <w:rFonts w:ascii="Times New Roman" w:hAnsi="Times New Roman" w:cs="Times New Roman"/>
          <w:sz w:val="24"/>
          <w:szCs w:val="24"/>
        </w:rPr>
        <w:br/>
        <w:t>- Jak długo należy przechowywać grafiki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Konieczność odrębnego przechowywania dla pracowników wniosków o wyjścia prywatne, wniosków o opiekę z art. 188 kp, wniosków urlopowych itp.</w:t>
      </w:r>
      <w:r w:rsidRPr="000D5B2E">
        <w:rPr>
          <w:rFonts w:ascii="Times New Roman" w:hAnsi="Times New Roman" w:cs="Times New Roman"/>
          <w:sz w:val="24"/>
          <w:szCs w:val="24"/>
        </w:rPr>
        <w:br/>
        <w:t>- Czy nadal można stosować zeszyty wyjść prywatnych?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Czy można wnioskować wielokrotnie o wyjście prywatne, urlop, opiekę na tej samej kartce? – 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t>WZÓR dla uczestników szkolenia!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0D5B2E">
        <w:rPr>
          <w:rFonts w:ascii="Times New Roman" w:hAnsi="Times New Roman" w:cs="Times New Roman"/>
          <w:sz w:val="24"/>
          <w:szCs w:val="24"/>
        </w:rPr>
        <w:t>- Wnioski o indywidualny, ruchomy (elastyczny) rozkład czasu pracy już nie do akt osobowych.</w:t>
      </w:r>
      <w:r w:rsidRPr="000D5B2E">
        <w:rPr>
          <w:rFonts w:ascii="Times New Roman" w:hAnsi="Times New Roman" w:cs="Times New Roman"/>
          <w:sz w:val="24"/>
          <w:szCs w:val="24"/>
        </w:rPr>
        <w:br/>
        <w:t>- Polecenia pracy w godzinach nadliczbowych, wnioski o odbiór czasu wolnego w zamian za pracę w godzinach nadliczbowych w odrębnej dokumentacji ze stosunku pracy?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Za pracę w sobotę koniecznie inny dzień wolny od pracy do końca okresu rozliczeniowego – dokument z uzgodnienia terminu odbiory w dokumentacji pracowniczej. - 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t>WZÓR dla uczestników szkolenia!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  <w:r w:rsidRPr="000D5B2E">
        <w:rPr>
          <w:rFonts w:ascii="Times New Roman" w:hAnsi="Times New Roman" w:cs="Times New Roman"/>
          <w:sz w:val="24"/>
          <w:szCs w:val="24"/>
        </w:rPr>
        <w:t xml:space="preserve">- Czy można zapłacić pracownikowi za pracę  w sobotę gdy nie chce odebrać wolnego dnia? </w:t>
      </w:r>
      <w:r w:rsidRPr="000D5B2E">
        <w:rPr>
          <w:rFonts w:ascii="Times New Roman" w:hAnsi="Times New Roman" w:cs="Times New Roman"/>
          <w:sz w:val="24"/>
          <w:szCs w:val="24"/>
        </w:rPr>
        <w:br/>
        <w:t>- Czy listy obecności należy przechowywać w dokumentacji z zakresu czasu pracy?</w:t>
      </w:r>
    </w:p>
    <w:p w14:paraId="7A2B6169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>3. Komu PIP przypisze popełnienie wykroczenia za błędny grafik ?</w:t>
      </w:r>
    </w:p>
    <w:p w14:paraId="6D44E723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- Kto ma obowiązek tworzenia harmonogramów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W jakiej formie należy sporządzić harmonogram?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można zmieniać harmonogram w trakcie jego obowiązywania – stanowisko PIP</w:t>
      </w:r>
      <w:r w:rsidRPr="000D5B2E">
        <w:rPr>
          <w:rFonts w:ascii="Times New Roman" w:hAnsi="Times New Roman" w:cs="Times New Roman"/>
          <w:sz w:val="24"/>
          <w:szCs w:val="24"/>
        </w:rPr>
        <w:br/>
        <w:t>- Przechowywanie harmonogramów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>- Harmonogram czasu pracy a rozkład czasu pracy pracownika.</w:t>
      </w:r>
      <w:r w:rsidRPr="000D5B2E">
        <w:rPr>
          <w:rFonts w:ascii="Times New Roman" w:hAnsi="Times New Roman" w:cs="Times New Roman"/>
          <w:sz w:val="24"/>
          <w:szCs w:val="24"/>
        </w:rPr>
        <w:br/>
        <w:t>- Czy trzeba tworzyć grafiki dla pracowników zatrudnionych w niepełnym wymiarze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Błędy w tworzeniu grafików dla pracowników zatrudnionych w równoważnym systemie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Najczęstsze błędy w grafikach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Odpoczynki dobowe i tygodniowe – jak prawidłowo liczyć i planować. </w:t>
      </w:r>
      <w:r w:rsidRPr="000D5B2E">
        <w:rPr>
          <w:rFonts w:ascii="Times New Roman" w:hAnsi="Times New Roman" w:cs="Times New Roman"/>
          <w:sz w:val="24"/>
          <w:szCs w:val="24"/>
        </w:rPr>
        <w:br/>
        <w:t>- Konieczność planowania dni wolnych od pracy z oznaczeniem tytułu ich udzielenia.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Tworzenie grafików – zajęcia praktyczne – 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t>WZORY grafików dla uczestników szkolenia!</w:t>
      </w:r>
      <w:r w:rsidRPr="000D5B2E">
        <w:rPr>
          <w:rFonts w:ascii="Times New Roman" w:hAnsi="Times New Roman" w:cs="Times New Roman"/>
          <w:b/>
          <w:bCs/>
          <w:color w:val="FF0000"/>
          <w:sz w:val="24"/>
          <w:szCs w:val="24"/>
        </w:rPr>
        <w:br/>
      </w:r>
    </w:p>
    <w:p w14:paraId="07641C6F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>4. Prawidłowe stosowanie okresów rozliczeniowych daje dużo możliwości</w:t>
      </w:r>
    </w:p>
    <w:p w14:paraId="26A38566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- Jak gospodarować czasem pracy w okresie rozliczeniowym?</w:t>
      </w:r>
      <w:r w:rsidRPr="000D5B2E">
        <w:rPr>
          <w:rFonts w:ascii="Times New Roman" w:hAnsi="Times New Roman" w:cs="Times New Roman"/>
          <w:sz w:val="24"/>
          <w:szCs w:val="24"/>
        </w:rPr>
        <w:br/>
      </w:r>
      <w:r w:rsidRPr="000D5B2E">
        <w:rPr>
          <w:rFonts w:ascii="Times New Roman" w:hAnsi="Times New Roman" w:cs="Times New Roman"/>
          <w:sz w:val="24"/>
          <w:szCs w:val="24"/>
        </w:rPr>
        <w:lastRenderedPageBreak/>
        <w:t>- Kiedy można legalnie naruszać przeciętnie pięciodniowy tydzień pracy planując grafik.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należy oddać dni wolne za pracę w soboty i niedziele w okresie rozliczeniowym, a kiedy można to zgodnie z prawem zrobić w kolejnych okresach?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 - Przedłużenie okresu rozliczeniowego do 12 miesięcy – co to daje przy planowaniu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>- Ustalanie początkowych i końcowych dat obowiązywania okresu rozliczeniowego.</w:t>
      </w:r>
      <w:r w:rsidRPr="000D5B2E">
        <w:rPr>
          <w:rFonts w:ascii="Times New Roman" w:hAnsi="Times New Roman" w:cs="Times New Roman"/>
          <w:sz w:val="24"/>
          <w:szCs w:val="24"/>
        </w:rPr>
        <w:br/>
        <w:t>- Wady i zalety długich okresów rozliczeniowych przy planowaniu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>- Ustalenie najkorzystniejszych okresów rozliczeniowych czasu pracy uczestników szkolenia.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Obliczanie limitu godzin nadliczbowych w okresie rozliczeniowym. </w:t>
      </w:r>
    </w:p>
    <w:p w14:paraId="6A4160EF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>5. Doba pracownicza – kiedy wolno legalnie naruszyć ?</w:t>
      </w:r>
    </w:p>
    <w:p w14:paraId="6930AA95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- Przekroczenie normy dobowej, a brak konieczności wypłacania nadgodzin.</w:t>
      </w:r>
      <w:r w:rsidRPr="000D5B2E">
        <w:rPr>
          <w:rFonts w:ascii="Times New Roman" w:hAnsi="Times New Roman" w:cs="Times New Roman"/>
          <w:sz w:val="24"/>
          <w:szCs w:val="24"/>
        </w:rPr>
        <w:br/>
        <w:t>- Ruchome rozkłady czasu pracy – jak prawidłowo wprowadzić i uniknąć wykroczeń za naruszenie doby pracowniczej?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 -Planowanie pracy w poszczególnych systemach czasu pracy. </w:t>
      </w:r>
      <w:r w:rsidRPr="000D5B2E">
        <w:rPr>
          <w:rFonts w:ascii="Times New Roman" w:hAnsi="Times New Roman" w:cs="Times New Roman"/>
          <w:sz w:val="24"/>
          <w:szCs w:val="24"/>
        </w:rPr>
        <w:br/>
        <w:t>- Odpoczynki dobowe i tygodniowe w grafikach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 Sposób obliczania przeciętnej tygodniowej normy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>- Kontrola PIP w zakresie prawidłowego planowania czasu pracy pracowników.</w:t>
      </w:r>
      <w:r w:rsidRPr="000D5B2E">
        <w:rPr>
          <w:rFonts w:ascii="Times New Roman" w:hAnsi="Times New Roman" w:cs="Times New Roman"/>
          <w:sz w:val="24"/>
          <w:szCs w:val="24"/>
        </w:rPr>
        <w:br/>
        <w:t>- Ustalanie grafików dla ruchomego rozkładu czasu pracy – zajęcia praktyczne.</w:t>
      </w:r>
    </w:p>
    <w:p w14:paraId="0B0CF657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t>6. Wyjścia prywatne pracowników – tu trzeba uważać!</w:t>
      </w:r>
    </w:p>
    <w:p w14:paraId="0B5323C7" w14:textId="77777777" w:rsidR="00F559E8" w:rsidRPr="000D5B2E" w:rsidRDefault="00F559E8" w:rsidP="00F559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>- Legalne odrabianie wyjść osobistych pracowników.</w:t>
      </w:r>
      <w:r w:rsidRPr="000D5B2E">
        <w:rPr>
          <w:rFonts w:ascii="Times New Roman" w:hAnsi="Times New Roman" w:cs="Times New Roman"/>
          <w:sz w:val="24"/>
          <w:szCs w:val="24"/>
        </w:rPr>
        <w:br/>
        <w:t>- Planowanie wyjść osobistych w grafiku – czy to prawidłowe?</w:t>
      </w:r>
      <w:r w:rsidRPr="000D5B2E">
        <w:rPr>
          <w:rFonts w:ascii="Times New Roman" w:hAnsi="Times New Roman" w:cs="Times New Roman"/>
          <w:sz w:val="24"/>
          <w:szCs w:val="24"/>
        </w:rPr>
        <w:br/>
        <w:t>- Ewidencja czasu pracy w zakresie wyjść osobistych.</w:t>
      </w:r>
      <w:r w:rsidRPr="000D5B2E">
        <w:rPr>
          <w:rFonts w:ascii="Times New Roman" w:hAnsi="Times New Roman" w:cs="Times New Roman"/>
          <w:sz w:val="24"/>
          <w:szCs w:val="24"/>
        </w:rPr>
        <w:br/>
        <w:t>- Odrabianie wyjść osobistych – ćwiczenia praktyczne.</w:t>
      </w:r>
      <w:r w:rsidRPr="000D5B2E">
        <w:rPr>
          <w:rFonts w:ascii="Times New Roman" w:hAnsi="Times New Roman" w:cs="Times New Roman"/>
          <w:sz w:val="24"/>
          <w:szCs w:val="24"/>
        </w:rPr>
        <w:br/>
        <w:t>- Odliczanie wyjść osobistych z urlopu wypoczynkowego – czy to legalne?</w:t>
      </w:r>
      <w:r w:rsidRPr="000D5B2E">
        <w:rPr>
          <w:rFonts w:ascii="Times New Roman" w:hAnsi="Times New Roman" w:cs="Times New Roman"/>
          <w:sz w:val="24"/>
          <w:szCs w:val="24"/>
        </w:rPr>
        <w:br/>
        <w:t>- Wymogi formalne dla wyjścia osobistego.</w:t>
      </w:r>
      <w:r w:rsidRPr="000D5B2E">
        <w:rPr>
          <w:rFonts w:ascii="Times New Roman" w:hAnsi="Times New Roman" w:cs="Times New Roman"/>
          <w:sz w:val="24"/>
          <w:szCs w:val="24"/>
        </w:rPr>
        <w:br/>
        <w:t>- Jak udzielać wyjść osobistych gdy nie ma możliwości ich odrobienia.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Wyjścia prywatne pracowników niepełnosprawnych. </w:t>
      </w:r>
      <w:r w:rsidRPr="000D5B2E">
        <w:rPr>
          <w:rFonts w:ascii="Times New Roman" w:hAnsi="Times New Roman" w:cs="Times New Roman"/>
          <w:sz w:val="24"/>
          <w:szCs w:val="24"/>
        </w:rPr>
        <w:br/>
        <w:t>- Czy pracownik może nadpracować godziny, aby następnie móc wyjść prywatnie?</w:t>
      </w:r>
    </w:p>
    <w:p w14:paraId="0F90374D" w14:textId="77777777" w:rsidR="00F559E8" w:rsidRPr="000D5B2E" w:rsidRDefault="00F559E8" w:rsidP="00F559E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D5B2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7. Podróże służbowe – częste naruszenia czasu pracy </w:t>
      </w:r>
    </w:p>
    <w:p w14:paraId="2AA64CAE" w14:textId="77777777" w:rsidR="00F559E8" w:rsidRPr="000D5B2E" w:rsidRDefault="00F559E8" w:rsidP="00F559E8">
      <w:pPr>
        <w:shd w:val="clear" w:color="auto" w:fill="FFFFFF"/>
        <w:spacing w:after="150" w:line="360" w:lineRule="auto"/>
        <w:rPr>
          <w:rFonts w:ascii="Times New Roman" w:hAnsi="Times New Roman" w:cs="Times New Roman"/>
          <w:sz w:val="24"/>
          <w:szCs w:val="24"/>
        </w:rPr>
      </w:pPr>
      <w:r w:rsidRPr="000D5B2E">
        <w:rPr>
          <w:rFonts w:ascii="Times New Roman" w:hAnsi="Times New Roman" w:cs="Times New Roman"/>
          <w:sz w:val="24"/>
          <w:szCs w:val="24"/>
        </w:rPr>
        <w:t xml:space="preserve">- Jak planować czas pracy gdy pracownik wyjeżdża w podróż służbową. </w:t>
      </w:r>
      <w:r w:rsidRPr="000D5B2E">
        <w:rPr>
          <w:rFonts w:ascii="Times New Roman" w:hAnsi="Times New Roman" w:cs="Times New Roman"/>
          <w:sz w:val="24"/>
          <w:szCs w:val="24"/>
        </w:rPr>
        <w:br/>
        <w:t>- Jak planować podróż służbową w poszczególnych systemach czasu pracy.</w:t>
      </w:r>
      <w:r w:rsidRPr="000D5B2E">
        <w:rPr>
          <w:rFonts w:ascii="Times New Roman" w:hAnsi="Times New Roman" w:cs="Times New Roman"/>
          <w:sz w:val="24"/>
          <w:szCs w:val="24"/>
        </w:rPr>
        <w:br/>
        <w:t>- Rozliczenie podróży służbowej w zależności od środka transportu.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Podróż służbowa w dniu wolnym od pracy. </w:t>
      </w:r>
      <w:r w:rsidRPr="000D5B2E">
        <w:rPr>
          <w:rFonts w:ascii="Times New Roman" w:hAnsi="Times New Roman" w:cs="Times New Roman"/>
          <w:sz w:val="24"/>
          <w:szCs w:val="24"/>
        </w:rPr>
        <w:br/>
        <w:t>- Kogo można wydelegować w podróż samochodem prywatnym lub służbowym.</w:t>
      </w:r>
      <w:r w:rsidRPr="000D5B2E">
        <w:rPr>
          <w:rFonts w:ascii="Times New Roman" w:hAnsi="Times New Roman" w:cs="Times New Roman"/>
          <w:sz w:val="24"/>
          <w:szCs w:val="24"/>
        </w:rPr>
        <w:br/>
        <w:t>- Czy cały czas dojazdu i powrotu z podróży służbowej zalicza się do czasu pracy pracownika?</w:t>
      </w:r>
    </w:p>
    <w:p w14:paraId="351474A6" w14:textId="63F2A141" w:rsidR="00F559E8" w:rsidRPr="00F85206" w:rsidRDefault="00F559E8" w:rsidP="00F559E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D5B2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8. Zła regulacja czasu pracy w regulaminie pracy powodem najczęstszych wykroczeń </w:t>
      </w:r>
      <w:r w:rsidR="00F85206">
        <w:rPr>
          <w:rFonts w:ascii="Times New Roman" w:hAnsi="Times New Roman" w:cs="Times New Roman"/>
          <w:b/>
          <w:sz w:val="24"/>
          <w:szCs w:val="24"/>
        </w:rPr>
        <w:br/>
      </w:r>
      <w:r w:rsidRPr="000D5B2E">
        <w:rPr>
          <w:rFonts w:ascii="Times New Roman" w:hAnsi="Times New Roman" w:cs="Times New Roman"/>
          <w:sz w:val="24"/>
          <w:szCs w:val="24"/>
        </w:rPr>
        <w:t>- Czy w związku ze zmianą przepisów Kp należy dokonać zmian w regulaminie pracy z zakresu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Jakie zapisy regulaminu pracy są niezbędne dla prawidłowego planowania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Jak określić system i okres rozliczeniowy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rozkład czasu pracy ustalony w regulaminie znosi obowiązek tworzenia grafików czasu pracy?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Jakie zapisy w regulaminie pracy dają prawo do zmiany grafików w trakcie ich obowiązywania? </w:t>
      </w:r>
      <w:r w:rsidRPr="000D5B2E">
        <w:rPr>
          <w:rFonts w:ascii="Times New Roman" w:hAnsi="Times New Roman" w:cs="Times New Roman"/>
          <w:sz w:val="24"/>
          <w:szCs w:val="24"/>
        </w:rPr>
        <w:br/>
        <w:t>- Czy regulamin ma określać kto odpowiada za czas pracy w zakładzie?</w:t>
      </w:r>
      <w:r w:rsidRPr="000D5B2E">
        <w:rPr>
          <w:rFonts w:ascii="Times New Roman" w:hAnsi="Times New Roman" w:cs="Times New Roman"/>
          <w:sz w:val="24"/>
          <w:szCs w:val="24"/>
        </w:rPr>
        <w:br/>
        <w:t>- Jakie zapisy z zakresu czasu pracy warto zawrzeć w regulaminie pracy?</w:t>
      </w:r>
    </w:p>
    <w:p w14:paraId="684736FB" w14:textId="77777777" w:rsidR="00C41C9D" w:rsidRDefault="00F559E8" w:rsidP="00C41C9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D5B2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9. Zagadnienia szczegółowe </w:t>
      </w:r>
    </w:p>
    <w:p w14:paraId="5EEE2774" w14:textId="6B3841F5" w:rsidR="00F559E8" w:rsidRPr="00C41C9D" w:rsidRDefault="00F559E8" w:rsidP="00C41C9D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D5B2E">
        <w:rPr>
          <w:rFonts w:ascii="Times New Roman" w:hAnsi="Times New Roman" w:cs="Times New Roman"/>
          <w:sz w:val="24"/>
          <w:szCs w:val="24"/>
        </w:rPr>
        <w:t>- Rekompensata godzin nadliczbowych czasem wolnym lub wynagrodzeniem.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należy oddać wolne za nadgodziny w tym samym okresie rozliczeniowym, a kiedy można przełożyć to na kolejny.</w:t>
      </w:r>
      <w:r w:rsidRPr="000D5B2E">
        <w:rPr>
          <w:rFonts w:ascii="Times New Roman" w:hAnsi="Times New Roman" w:cs="Times New Roman"/>
          <w:sz w:val="24"/>
          <w:szCs w:val="24"/>
        </w:rPr>
        <w:br/>
        <w:t xml:space="preserve">- Kogo Inspektor Pracy uzna winnym naruszenia przepisów o czasie pracy. </w:t>
      </w:r>
      <w:r w:rsidRPr="000D5B2E">
        <w:rPr>
          <w:rFonts w:ascii="Times New Roman" w:hAnsi="Times New Roman" w:cs="Times New Roman"/>
          <w:sz w:val="24"/>
          <w:szCs w:val="24"/>
        </w:rPr>
        <w:br/>
        <w:t>- Jak prawidłowo wydłużyć czas pracy niepełnosprawnego ze znacznym lub umiarkowanym stopniem do 8 godzin.</w:t>
      </w:r>
      <w:r w:rsidRPr="000D5B2E">
        <w:rPr>
          <w:rFonts w:ascii="Times New Roman" w:hAnsi="Times New Roman" w:cs="Times New Roman"/>
          <w:sz w:val="24"/>
          <w:szCs w:val="24"/>
        </w:rPr>
        <w:br/>
        <w:t>- Kiedy nie obowiązuje co 4 niedziela wolna od pracy.</w:t>
      </w:r>
    </w:p>
    <w:p w14:paraId="52CDB11D" w14:textId="77777777" w:rsidR="00AE0A67" w:rsidRPr="004B36F5" w:rsidRDefault="00D35437" w:rsidP="00AE0A67">
      <w:pPr>
        <w:rPr>
          <w:rFonts w:ascii="Times New Roman" w:hAnsi="Times New Roman" w:cs="Times New Roman"/>
          <w:b/>
          <w:bCs/>
          <w:color w:val="EE0000"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</w:t>
      </w:r>
      <w:r w:rsidR="00AE0A67" w:rsidRPr="00C960D2">
        <w:rPr>
          <w:rFonts w:ascii="Times New Roman" w:hAnsi="Times New Roman" w:cs="Times New Roman"/>
          <w:b/>
          <w:bCs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1D4898D4" w14:textId="381097A7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</w:t>
      </w:r>
    </w:p>
    <w:p w14:paraId="2BDB187A" w14:textId="77AE61F9" w:rsidR="002F6D01" w:rsidRPr="006C629D" w:rsidRDefault="007C21AA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6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9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2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3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5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7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0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1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7"/>
  </w:num>
  <w:num w:numId="2" w16cid:durableId="1678653740">
    <w:abstractNumId w:val="22"/>
  </w:num>
  <w:num w:numId="3" w16cid:durableId="261382043">
    <w:abstractNumId w:val="29"/>
  </w:num>
  <w:num w:numId="4" w16cid:durableId="1520777818">
    <w:abstractNumId w:val="24"/>
  </w:num>
  <w:num w:numId="5" w16cid:durableId="1095517474">
    <w:abstractNumId w:val="23"/>
  </w:num>
  <w:num w:numId="6" w16cid:durableId="503279571">
    <w:abstractNumId w:val="37"/>
  </w:num>
  <w:num w:numId="7" w16cid:durableId="943683199">
    <w:abstractNumId w:val="35"/>
  </w:num>
  <w:num w:numId="8" w16cid:durableId="1685938094">
    <w:abstractNumId w:val="41"/>
  </w:num>
  <w:num w:numId="9" w16cid:durableId="1711299630">
    <w:abstractNumId w:val="36"/>
  </w:num>
  <w:num w:numId="10" w16cid:durableId="608320993">
    <w:abstractNumId w:val="17"/>
  </w:num>
  <w:num w:numId="11" w16cid:durableId="1621255964">
    <w:abstractNumId w:val="13"/>
  </w:num>
  <w:num w:numId="12" w16cid:durableId="598179624">
    <w:abstractNumId w:val="16"/>
  </w:num>
  <w:num w:numId="13" w16cid:durableId="366687856">
    <w:abstractNumId w:val="39"/>
  </w:num>
  <w:num w:numId="14" w16cid:durableId="1121219971">
    <w:abstractNumId w:val="15"/>
  </w:num>
  <w:num w:numId="15" w16cid:durableId="1788354766">
    <w:abstractNumId w:val="14"/>
  </w:num>
  <w:num w:numId="16" w16cid:durableId="172575507">
    <w:abstractNumId w:val="34"/>
  </w:num>
  <w:num w:numId="17" w16cid:durableId="1045565260">
    <w:abstractNumId w:val="32"/>
  </w:num>
  <w:num w:numId="18" w16cid:durableId="134224124">
    <w:abstractNumId w:val="31"/>
  </w:num>
  <w:num w:numId="19" w16cid:durableId="1459493326">
    <w:abstractNumId w:val="40"/>
  </w:num>
  <w:num w:numId="20" w16cid:durableId="1829902598">
    <w:abstractNumId w:val="28"/>
  </w:num>
  <w:num w:numId="21" w16cid:durableId="1149709086">
    <w:abstractNumId w:val="25"/>
  </w:num>
  <w:num w:numId="22" w16cid:durableId="662661966">
    <w:abstractNumId w:val="26"/>
  </w:num>
  <w:num w:numId="23" w16cid:durableId="1399590505">
    <w:abstractNumId w:val="33"/>
  </w:num>
  <w:num w:numId="24" w16cid:durableId="2038696968">
    <w:abstractNumId w:val="19"/>
  </w:num>
  <w:num w:numId="25" w16cid:durableId="755516937">
    <w:abstractNumId w:val="30"/>
  </w:num>
  <w:num w:numId="26" w16cid:durableId="1818523141">
    <w:abstractNumId w:val="20"/>
  </w:num>
  <w:num w:numId="27" w16cid:durableId="638463559">
    <w:abstractNumId w:val="38"/>
  </w:num>
  <w:num w:numId="28" w16cid:durableId="1468863311">
    <w:abstractNumId w:val="21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1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formatting="1" w:enforcement="1" w:cryptProviderType="rsaAES" w:cryptAlgorithmClass="hash" w:cryptAlgorithmType="typeAny" w:cryptAlgorithmSid="14" w:cryptSpinCount="100000" w:hash="YmaR00I+/3qDK/+9e1bYfzOYJmaBocKAtM+XsmbYIlKI15sRrohGRMkHgsbq7s5El9XVuC0sHamSv3g6Hx90kw==" w:salt="WrwF0utAIXNPggxxOvp+a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00F09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75569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21AA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63B0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0A6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1335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1C9D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4F9D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5</Pages>
  <Words>1695</Words>
  <Characters>10176</Characters>
  <Application>Microsoft Office Word</Application>
  <DocSecurity>8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793</cp:revision>
  <cp:lastPrinted>2019-04-30T11:10:00Z</cp:lastPrinted>
  <dcterms:created xsi:type="dcterms:W3CDTF">2022-08-12T10:48:00Z</dcterms:created>
  <dcterms:modified xsi:type="dcterms:W3CDTF">2026-10-15T07:31:00Z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