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3B1255F4" w14:textId="77777777" w:rsidR="002C7D10" w:rsidRPr="00345B9B" w:rsidRDefault="002C7D10" w:rsidP="002C7D10">
      <w:pPr>
        <w:widowControl/>
        <w:suppressAutoHyphens w:val="0"/>
        <w:autoSpaceDN/>
        <w:spacing w:after="160" w:line="259" w:lineRule="auto"/>
        <w:jc w:val="center"/>
        <w:textAlignment w:val="auto"/>
        <w:rPr>
          <w:rFonts w:asciiTheme="minorHAnsi" w:eastAsiaTheme="minorHAnsi" w:hAnsiTheme="minorHAnsi" w:cstheme="minorBidi"/>
          <w:b/>
          <w:bCs/>
          <w:color w:val="FF0000"/>
          <w:kern w:val="0"/>
          <w:sz w:val="28"/>
          <w:szCs w:val="28"/>
        </w:rPr>
      </w:pPr>
      <w:r w:rsidRPr="00345B9B">
        <w:rPr>
          <w:rFonts w:asciiTheme="minorHAnsi" w:eastAsiaTheme="minorHAnsi" w:hAnsiTheme="minorHAnsi" w:cstheme="minorBidi"/>
          <w:b/>
          <w:bCs/>
          <w:color w:val="FF0000"/>
          <w:kern w:val="0"/>
          <w:sz w:val="28"/>
          <w:szCs w:val="28"/>
        </w:rPr>
        <w:t>Zmiany w urlopie rodzicielskim i zasiłku macierzyńskim w roku 2023</w:t>
      </w:r>
    </w:p>
    <w:p w14:paraId="47E02AF5" w14:textId="77777777" w:rsidR="00FF46DA" w:rsidRDefault="00FF46DA" w:rsidP="005F6EF6">
      <w:pPr>
        <w:pStyle w:val="Bezodstpw"/>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284"/>
        <w:gridCol w:w="1273"/>
        <w:gridCol w:w="2411"/>
      </w:tblGrid>
      <w:tr w:rsidR="00F63D44" w:rsidRPr="00EE52DB" w14:paraId="04674DD0" w14:textId="77777777" w:rsidTr="003266C8">
        <w:trPr>
          <w:trHeight w:val="274"/>
        </w:trPr>
        <w:tc>
          <w:tcPr>
            <w:tcW w:w="140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7"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5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7778D742" w14:textId="77777777" w:rsidTr="003266C8">
        <w:tc>
          <w:tcPr>
            <w:tcW w:w="1408" w:type="pct"/>
          </w:tcPr>
          <w:p w14:paraId="0D2D8219" w14:textId="254C34A1" w:rsidR="006D7D40" w:rsidRDefault="006B46F3"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6B063B">
              <w:rPr>
                <w:rFonts w:ascii="Arial Narrow" w:hAnsi="Arial Narrow" w:cs="Times New Roman"/>
                <w:b/>
                <w:sz w:val="24"/>
                <w:szCs w:val="24"/>
              </w:rPr>
              <w:t>6</w:t>
            </w:r>
            <w:r w:rsidR="006D7D40">
              <w:rPr>
                <w:rFonts w:ascii="Arial Narrow" w:hAnsi="Arial Narrow" w:cs="Times New Roman"/>
                <w:b/>
                <w:sz w:val="24"/>
                <w:szCs w:val="24"/>
              </w:rPr>
              <w:t>.</w:t>
            </w:r>
            <w:r w:rsidR="00D77D31">
              <w:rPr>
                <w:rFonts w:ascii="Arial Narrow" w:hAnsi="Arial Narrow" w:cs="Times New Roman"/>
                <w:b/>
                <w:sz w:val="24"/>
                <w:szCs w:val="24"/>
              </w:rPr>
              <w:t>0</w:t>
            </w:r>
            <w:r w:rsidR="006B063B">
              <w:rPr>
                <w:rFonts w:ascii="Arial Narrow" w:hAnsi="Arial Narrow" w:cs="Times New Roman"/>
                <w:b/>
                <w:sz w:val="24"/>
                <w:szCs w:val="24"/>
              </w:rPr>
              <w:t>6</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57" w:type="pct"/>
          </w:tcPr>
          <w:p w14:paraId="25E4AE5C" w14:textId="77777777" w:rsidR="006D7D40" w:rsidRPr="00EE52DB" w:rsidRDefault="006D7D40" w:rsidP="00EE52DB">
            <w:pPr>
              <w:pStyle w:val="Tekstpodstawowy"/>
              <w:jc w:val="center"/>
              <w:rPr>
                <w:rFonts w:ascii="Arial Narrow" w:hAnsi="Arial Narrow" w:cs="Times New Roman"/>
                <w:b/>
                <w:sz w:val="24"/>
                <w:szCs w:val="24"/>
              </w:rPr>
            </w:pPr>
            <w:permStart w:id="1154891521" w:edGrp="everyone"/>
            <w:permEnd w:id="1154891521"/>
          </w:p>
        </w:tc>
        <w:tc>
          <w:tcPr>
            <w:tcW w:w="1152" w:type="pct"/>
          </w:tcPr>
          <w:p w14:paraId="5101B884" w14:textId="6A9CD181" w:rsidR="006D7D40" w:rsidRDefault="006D7D40" w:rsidP="00EE52DB">
            <w:pPr>
              <w:pStyle w:val="Tekstpodstawowy"/>
              <w:jc w:val="center"/>
              <w:rPr>
                <w:rFonts w:ascii="Arial Narrow" w:hAnsi="Arial Narrow" w:cs="Times New Roman"/>
                <w:b/>
              </w:rPr>
            </w:pPr>
            <w:r>
              <w:rPr>
                <w:rFonts w:ascii="Arial Narrow" w:hAnsi="Arial Narrow" w:cs="Times New Roman"/>
                <w:b/>
              </w:rPr>
              <w:t>1</w:t>
            </w:r>
            <w:r w:rsidR="002C7D10">
              <w:rPr>
                <w:rFonts w:ascii="Arial Narrow" w:hAnsi="Arial Narrow" w:cs="Times New Roman"/>
                <w:b/>
              </w:rPr>
              <w:t>3</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sidR="002C7D10">
              <w:rPr>
                <w:rFonts w:ascii="Arial Narrow" w:hAnsi="Arial Narrow" w:cs="Times New Roman"/>
                <w:b/>
              </w:rPr>
              <w:t>0</w:t>
            </w:r>
            <w:r w:rsidRPr="000A55DF">
              <w:rPr>
                <w:rFonts w:ascii="Arial Narrow" w:hAnsi="Arial Narrow" w:cs="Times New Roman"/>
                <w:b/>
              </w:rPr>
              <w:t>0</w:t>
            </w:r>
          </w:p>
        </w:tc>
        <w:tc>
          <w:tcPr>
            <w:tcW w:w="2182" w:type="pct"/>
            <w:tcBorders>
              <w:right w:val="single" w:sz="4" w:space="0" w:color="auto"/>
            </w:tcBorders>
          </w:tcPr>
          <w:p w14:paraId="4A108987" w14:textId="196D25AF" w:rsidR="006D7D40" w:rsidRPr="003266C8" w:rsidRDefault="008625BE" w:rsidP="00EE52DB">
            <w:pPr>
              <w:pStyle w:val="Tekstpodstawowy"/>
              <w:jc w:val="center"/>
              <w:rPr>
                <w:b/>
                <w:bCs/>
                <w:sz w:val="18"/>
                <w:szCs w:val="18"/>
              </w:rPr>
            </w:pPr>
            <w:r w:rsidRPr="003266C8">
              <w:rPr>
                <w:b/>
                <w:bCs/>
                <w:lang w:eastAsia="en-US"/>
              </w:rPr>
              <w:t>Dariusz Suchorowski</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A8B0A91" w14:textId="49F79303" w:rsidR="002C7D10" w:rsidRDefault="0035408E" w:rsidP="00345B9B">
      <w:pPr>
        <w:pStyle w:val="Tekstpodstawowy"/>
        <w:rPr>
          <w:rFonts w:ascii="Arial Narrow" w:hAnsi="Arial Narrow" w:cs="Times New Roman"/>
          <w:bCs/>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42675C">
        <w:rPr>
          <w:rFonts w:ascii="Arial Narrow" w:hAnsi="Arial Narrow" w:cs="Times New Roman"/>
          <w:b/>
          <w:sz w:val="22"/>
        </w:rPr>
        <w:t xml:space="preserve">150 </w:t>
      </w:r>
      <w:r w:rsidRPr="002A7703">
        <w:rPr>
          <w:rFonts w:ascii="Arial Narrow" w:hAnsi="Arial Narrow" w:cs="Times New Roman"/>
          <w:b/>
          <w:sz w:val="22"/>
        </w:rPr>
        <w:t>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p>
    <w:p w14:paraId="07D1F50D" w14:textId="4D383B9E" w:rsidR="006B46F3" w:rsidRPr="007D2D9C" w:rsidRDefault="007C1D52" w:rsidP="007D2D9C">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w:t>
      </w:r>
    </w:p>
    <w:bookmarkEnd w:id="1"/>
    <w:p w14:paraId="24423484" w14:textId="77777777" w:rsidR="007D2D9C" w:rsidRDefault="007D2D9C" w:rsidP="007D2D9C">
      <w:pPr>
        <w:spacing w:before="100" w:beforeAutospacing="1" w:after="100" w:afterAutospacing="1"/>
        <w:rPr>
          <w:rFonts w:ascii="Arial Narrow" w:eastAsia="Times New Roman" w:hAnsi="Arial Narrow" w:cs="Times New Roman"/>
          <w:kern w:val="0"/>
          <w:sz w:val="20"/>
          <w:szCs w:val="20"/>
          <w:lang w:eastAsia="pl-PL"/>
        </w:rPr>
      </w:pPr>
      <w:r>
        <w:rPr>
          <w:rFonts w:ascii="Arial Narrow" w:hAnsi="Arial Narrow"/>
          <w:b/>
          <w:color w:val="FF0000"/>
          <w:sz w:val="24"/>
          <w:szCs w:val="24"/>
        </w:rPr>
        <w:t>Wykładowca:</w:t>
      </w:r>
      <w:r>
        <w:rPr>
          <w:rFonts w:ascii="Times New Roman" w:eastAsia="Times New Roman" w:hAnsi="Times New Roman" w:cs="Times New Roman"/>
          <w:b/>
          <w:color w:val="FF0000"/>
          <w:kern w:val="0"/>
          <w:sz w:val="24"/>
          <w:szCs w:val="24"/>
        </w:rPr>
        <w:t xml:space="preserve"> </w:t>
      </w:r>
      <w:r>
        <w:rPr>
          <w:rFonts w:ascii="Arial Narrow" w:eastAsia="Times New Roman" w:hAnsi="Arial Narrow" w:cs="Times New Roman"/>
          <w:b/>
          <w:color w:val="FF0000"/>
          <w:kern w:val="0"/>
          <w:sz w:val="24"/>
          <w:szCs w:val="24"/>
        </w:rPr>
        <w:t>Dariusz Suchorowski</w:t>
      </w:r>
      <w:r>
        <w:rPr>
          <w:rFonts w:ascii="Arial Narrow" w:eastAsia="Times New Roman" w:hAnsi="Arial Narrow" w:cs="Times New Roman"/>
          <w:color w:val="FF0000"/>
          <w:kern w:val="0"/>
          <w:sz w:val="20"/>
          <w:szCs w:val="20"/>
        </w:rPr>
        <w:t xml:space="preserve"> </w:t>
      </w:r>
      <w:r>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26EEBF9E" w14:textId="77777777" w:rsidR="002C7D10" w:rsidRPr="00396BC5" w:rsidRDefault="002C7D10" w:rsidP="0098694C">
      <w:pPr>
        <w:rPr>
          <w:rFonts w:ascii="Times New Roman" w:hAnsi="Times New Roman" w:cs="Times New Roman"/>
          <w:bCs/>
          <w:shd w:val="clear" w:color="auto" w:fill="FFFFFF"/>
        </w:rPr>
      </w:pPr>
    </w:p>
    <w:p w14:paraId="488BDF39" w14:textId="2CAC47D9" w:rsidR="00870A68"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684D2A91" w14:textId="77777777" w:rsidR="0025618F" w:rsidRPr="00EE52DB" w:rsidRDefault="0025618F" w:rsidP="00870A68">
      <w:pPr>
        <w:pStyle w:val="Bezodstpw"/>
        <w:jc w:val="center"/>
        <w:rPr>
          <w:rFonts w:ascii="Arial Narrow" w:hAnsi="Arial Narrow"/>
          <w:b/>
          <w:sz w:val="25"/>
          <w:szCs w:val="25"/>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p w14:paraId="597F6249" w14:textId="77777777" w:rsidR="00345B9B" w:rsidRPr="00345B9B" w:rsidRDefault="00345B9B" w:rsidP="00345B9B">
      <w:pPr>
        <w:widowControl/>
        <w:suppressAutoHyphens w:val="0"/>
        <w:autoSpaceDN/>
        <w:spacing w:after="160" w:line="259" w:lineRule="auto"/>
        <w:jc w:val="center"/>
        <w:textAlignment w:val="auto"/>
        <w:rPr>
          <w:rFonts w:asciiTheme="minorHAnsi" w:eastAsiaTheme="minorHAnsi" w:hAnsiTheme="minorHAnsi" w:cstheme="minorBidi"/>
          <w:b/>
          <w:bCs/>
          <w:color w:val="FF0000"/>
          <w:kern w:val="0"/>
          <w:sz w:val="28"/>
          <w:szCs w:val="28"/>
        </w:rPr>
      </w:pPr>
      <w:bookmarkStart w:id="3" w:name="_Hlk131057078"/>
      <w:bookmarkEnd w:id="2"/>
      <w:r w:rsidRPr="00345B9B">
        <w:rPr>
          <w:rFonts w:asciiTheme="minorHAnsi" w:eastAsiaTheme="minorHAnsi" w:hAnsiTheme="minorHAnsi" w:cstheme="minorBidi"/>
          <w:b/>
          <w:bCs/>
          <w:color w:val="FF0000"/>
          <w:kern w:val="0"/>
          <w:sz w:val="28"/>
          <w:szCs w:val="28"/>
        </w:rPr>
        <w:t>Zmiany w urlopie rodzicielskim i zasiłku macierzyńskim w roku 2023</w:t>
      </w:r>
    </w:p>
    <w:bookmarkEnd w:id="3"/>
    <w:p w14:paraId="77B7895E" w14:textId="77777777" w:rsidR="00345B9B" w:rsidRDefault="00345B9B"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06EA7C90" w14:textId="38A8BA4D" w:rsidR="00345B9B" w:rsidRDefault="00345B9B"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Wdrożenie Dyrektywy UE i jej wpływ na długość urlopu rodzicielskiego oraz wysokość zasiłku macierzyńskiego:</w:t>
      </w:r>
    </w:p>
    <w:p w14:paraId="3BFFF13E" w14:textId="77777777" w:rsidR="002C7D10" w:rsidRPr="00345B9B" w:rsidRDefault="002C7D10" w:rsidP="00345B9B">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6CB96552" w14:textId="77777777" w:rsidR="00345B9B" w:rsidRPr="00345B9B" w:rsidRDefault="00345B9B" w:rsidP="002C7D10">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Wydłużenie okresu urlopu rodzicielskiego, z brakiem możliwości przeniesienia prawa na współmałżonka.</w:t>
      </w:r>
    </w:p>
    <w:p w14:paraId="1F70DFCB" w14:textId="77777777" w:rsidR="00345B9B" w:rsidRPr="00345B9B" w:rsidRDefault="00345B9B" w:rsidP="002C7D10">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Wydłużenie okresu urlopu rodzicielskiego ze względu na ciężką chorobę dziecka.</w:t>
      </w:r>
    </w:p>
    <w:p w14:paraId="484642E4" w14:textId="77777777" w:rsidR="00345B9B" w:rsidRPr="00345B9B" w:rsidRDefault="00345B9B" w:rsidP="002C7D10">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Skrócenie okresu na wykorzystanie przysługującego urlopu ojcowskiego.</w:t>
      </w:r>
    </w:p>
    <w:p w14:paraId="4A80FDFE" w14:textId="77777777" w:rsidR="00345B9B" w:rsidRPr="00345B9B" w:rsidRDefault="00345B9B" w:rsidP="002C7D10">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Zmiana wysokości zasiłku macierzyńskiego za okres urlopu macierzyńskiego i rodzicielskiego</w:t>
      </w:r>
    </w:p>
    <w:p w14:paraId="519CD8F5" w14:textId="77777777" w:rsidR="00345B9B" w:rsidRPr="00345B9B" w:rsidRDefault="00345B9B" w:rsidP="002C7D10">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Stosowanie zmienionych przepisów do ubezpieczonych, którzy w dniu wejścia w życie przepisów przebywali na urlopie macierzyńskim lub rodzicielskim udzielonym według starych zasad.</w:t>
      </w:r>
    </w:p>
    <w:p w14:paraId="1CB17A48" w14:textId="4DF10D37" w:rsidR="002C7D10" w:rsidRPr="007D2D9C" w:rsidRDefault="00345B9B" w:rsidP="007D2D9C">
      <w:pPr>
        <w:widowControl/>
        <w:numPr>
          <w:ilvl w:val="1"/>
          <w:numId w:val="29"/>
        </w:numPr>
        <w:suppressAutoHyphens w:val="0"/>
        <w:autoSpaceDN/>
        <w:spacing w:after="0" w:line="360" w:lineRule="auto"/>
        <w:ind w:left="360"/>
        <w:textAlignment w:val="auto"/>
        <w:rPr>
          <w:rFonts w:asciiTheme="minorHAnsi" w:eastAsia="Times New Roman" w:hAnsiTheme="minorHAnsi" w:cstheme="minorBidi"/>
          <w:kern w:val="0"/>
          <w:sz w:val="24"/>
          <w:szCs w:val="24"/>
        </w:rPr>
      </w:pPr>
      <w:r w:rsidRPr="00345B9B">
        <w:rPr>
          <w:rFonts w:asciiTheme="minorHAnsi" w:eastAsia="Times New Roman" w:hAnsiTheme="minorHAnsi" w:cstheme="minorBidi"/>
          <w:kern w:val="0"/>
          <w:sz w:val="24"/>
          <w:szCs w:val="24"/>
        </w:rPr>
        <w:t>Sytuacja ubezpieczonych, którzy już wykorzystali urlop rodzicielski przed wejściem w życie nowych przepisów, a których dziecko nie ukończyło 6 lat.</w:t>
      </w: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3394C8CE" w:rsidR="00E906D3" w:rsidRDefault="00E337C6" w:rsidP="007D2D9C">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3CDF" w14:textId="77777777" w:rsidR="001F6177" w:rsidRDefault="001F6177">
      <w:pPr>
        <w:spacing w:after="0" w:line="240" w:lineRule="auto"/>
      </w:pPr>
      <w:r>
        <w:separator/>
      </w:r>
    </w:p>
  </w:endnote>
  <w:endnote w:type="continuationSeparator" w:id="0">
    <w:p w14:paraId="7A07AB12" w14:textId="77777777" w:rsidR="001F6177" w:rsidRDefault="001F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977B" w14:textId="77777777" w:rsidR="001F6177" w:rsidRDefault="001F6177">
      <w:pPr>
        <w:spacing w:after="0" w:line="240" w:lineRule="auto"/>
      </w:pPr>
      <w:r>
        <w:rPr>
          <w:color w:val="000000"/>
        </w:rPr>
        <w:separator/>
      </w:r>
    </w:p>
  </w:footnote>
  <w:footnote w:type="continuationSeparator" w:id="0">
    <w:p w14:paraId="1DB41EF6" w14:textId="77777777" w:rsidR="001F6177" w:rsidRDefault="001F6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C691BD2"/>
    <w:multiLevelType w:val="hybridMultilevel"/>
    <w:tmpl w:val="45F8A3B2"/>
    <w:lvl w:ilvl="0" w:tplc="FFC2760E">
      <w:start w:val="1"/>
      <w:numFmt w:val="decimal"/>
      <w:lvlText w:val="%1."/>
      <w:lvlJc w:val="left"/>
      <w:pPr>
        <w:ind w:left="720" w:hanging="360"/>
      </w:pPr>
    </w:lvl>
    <w:lvl w:ilvl="1" w:tplc="0415000B">
      <w:start w:val="1"/>
      <w:numFmt w:val="bullet"/>
      <w:lvlText w:val=""/>
      <w:lvlJc w:val="left"/>
      <w:pPr>
        <w:ind w:left="72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9"/>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 w:numId="29" w16cid:durableId="1793786642">
    <w:abstractNumId w:val="38"/>
  </w:num>
  <w:num w:numId="30" w16cid:durableId="160510937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2oA7Z5IBEBNOPDppDuQFul7P0/ZzkL6GiH7OjBn92V+3d+rZnWHEsBBPigQvCv3rxJcBmhIWQlaX3ZNEm02pTQ==" w:salt="vqtBB1HwrPkQnPZP6xdL4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37E5"/>
    <w:rsid w:val="00177573"/>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177"/>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18F"/>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7D1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6C8"/>
    <w:rsid w:val="00326D71"/>
    <w:rsid w:val="00333483"/>
    <w:rsid w:val="00334139"/>
    <w:rsid w:val="003343EE"/>
    <w:rsid w:val="00345B9B"/>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2675C"/>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2AFE"/>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063B"/>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2D9C"/>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5BE"/>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D0B2A"/>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3B90"/>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377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7530F"/>
    <w:rsid w:val="00D777FA"/>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2DCF"/>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8125623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981</Words>
  <Characters>5886</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87</cp:revision>
  <cp:lastPrinted>2019-04-30T11:10:00Z</cp:lastPrinted>
  <dcterms:created xsi:type="dcterms:W3CDTF">2022-12-09T12:42:00Z</dcterms:created>
  <dcterms:modified xsi:type="dcterms:W3CDTF">2023-05-25T05:36:00Z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