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5B3C0DB0" w14:textId="77777777" w:rsidR="00D14646" w:rsidRDefault="00D14646" w:rsidP="00D14646">
      <w:pPr>
        <w:pStyle w:val="Bezodstpw"/>
        <w:jc w:val="center"/>
        <w:rPr>
          <w:rFonts w:ascii="Arial Narrow" w:hAnsi="Arial Narrow"/>
          <w:b/>
          <w:i/>
          <w:iCs/>
          <w:sz w:val="24"/>
          <w:szCs w:val="24"/>
        </w:rPr>
      </w:pPr>
      <w:bookmarkStart w:id="1" w:name="_Hlk117576366"/>
      <w:bookmarkStart w:id="2" w:name="_Hlk121815921"/>
      <w:bookmarkEnd w:id="0"/>
      <w:r w:rsidRPr="00B5507F">
        <w:rPr>
          <w:rFonts w:ascii="Arial Narrow" w:eastAsia="Times New Roman" w:hAnsi="Arial Narrow" w:cs="Arial"/>
          <w:b/>
          <w:bCs/>
          <w:color w:val="FF0000"/>
          <w:kern w:val="1"/>
          <w:sz w:val="32"/>
          <w:szCs w:val="32"/>
          <w:lang w:eastAsia="ar-SA"/>
        </w:rPr>
        <w:t xml:space="preserve">Nadchodzące zmiany </w:t>
      </w:r>
      <w:bookmarkEnd w:id="1"/>
      <w:r>
        <w:rPr>
          <w:rFonts w:ascii="Arial Narrow" w:eastAsia="Times New Roman" w:hAnsi="Arial Narrow" w:cs="Arial"/>
          <w:b/>
          <w:bCs/>
          <w:color w:val="FF0000"/>
          <w:kern w:val="1"/>
          <w:sz w:val="32"/>
          <w:szCs w:val="32"/>
          <w:lang w:eastAsia="ar-SA"/>
        </w:rPr>
        <w:t xml:space="preserve">w prawie pracy w dokumentacji i praktyce </w:t>
      </w:r>
    </w:p>
    <w:bookmarkEnd w:id="2"/>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1D0A8A3B" w14:textId="77777777" w:rsidTr="00276E6C">
        <w:tc>
          <w:tcPr>
            <w:tcW w:w="801" w:type="pct"/>
          </w:tcPr>
          <w:p w14:paraId="252B363B" w14:textId="50091883" w:rsidR="007050B2" w:rsidRDefault="00AC5C78" w:rsidP="007050B2">
            <w:pPr>
              <w:pStyle w:val="Tekstpodstawowy"/>
              <w:jc w:val="center"/>
              <w:rPr>
                <w:rFonts w:ascii="Arial Narrow" w:hAnsi="Arial Narrow" w:cs="Times New Roman"/>
                <w:b/>
              </w:rPr>
            </w:pPr>
            <w:r>
              <w:rPr>
                <w:rFonts w:ascii="Arial Narrow" w:hAnsi="Arial Narrow" w:cs="Times New Roman"/>
                <w:b/>
              </w:rPr>
              <w:t>22</w:t>
            </w:r>
            <w:r w:rsidR="007050B2">
              <w:rPr>
                <w:rFonts w:ascii="Arial Narrow" w:hAnsi="Arial Narrow" w:cs="Times New Roman"/>
                <w:b/>
              </w:rPr>
              <w:t>.</w:t>
            </w:r>
            <w:r w:rsidR="00E87E00">
              <w:rPr>
                <w:rFonts w:ascii="Arial Narrow" w:hAnsi="Arial Narrow" w:cs="Times New Roman"/>
                <w:b/>
              </w:rPr>
              <w:t>0</w:t>
            </w:r>
            <w:r>
              <w:rPr>
                <w:rFonts w:ascii="Arial Narrow" w:hAnsi="Arial Narrow" w:cs="Times New Roman"/>
                <w:b/>
              </w:rPr>
              <w:t>2</w:t>
            </w:r>
            <w:r w:rsidR="007050B2">
              <w:rPr>
                <w:rFonts w:ascii="Arial Narrow" w:hAnsi="Arial Narrow" w:cs="Times New Roman"/>
                <w:b/>
              </w:rPr>
              <w:t>.202</w:t>
            </w:r>
            <w:r w:rsidR="00E87E00">
              <w:rPr>
                <w:rFonts w:ascii="Arial Narrow" w:hAnsi="Arial Narrow" w:cs="Times New Roman"/>
                <w:b/>
              </w:rPr>
              <w:t>3</w:t>
            </w:r>
          </w:p>
        </w:tc>
        <w:tc>
          <w:tcPr>
            <w:tcW w:w="805" w:type="pct"/>
          </w:tcPr>
          <w:p w14:paraId="05CC3BB8" w14:textId="36A62B1B" w:rsidR="007050B2" w:rsidRDefault="00D31E0C" w:rsidP="007050B2">
            <w:pPr>
              <w:pStyle w:val="Tekstpodstawowy"/>
              <w:jc w:val="center"/>
              <w:rPr>
                <w:rFonts w:ascii="Arial Narrow" w:hAnsi="Arial Narrow" w:cs="Times New Roman"/>
                <w:b/>
              </w:rPr>
            </w:pPr>
            <w:r>
              <w:rPr>
                <w:rFonts w:ascii="Arial Narrow" w:hAnsi="Arial Narrow" w:cs="Times New Roman"/>
                <w:b/>
              </w:rPr>
              <w:t>Opole</w:t>
            </w:r>
          </w:p>
        </w:tc>
        <w:tc>
          <w:tcPr>
            <w:tcW w:w="1252" w:type="pct"/>
          </w:tcPr>
          <w:p w14:paraId="071BC3DC" w14:textId="58858135" w:rsidR="007050B2" w:rsidRDefault="007050B2" w:rsidP="007050B2">
            <w:pPr>
              <w:pStyle w:val="Tekstpodstawowy"/>
              <w:jc w:val="center"/>
              <w:rPr>
                <w:rFonts w:ascii="Arial Narrow" w:hAnsi="Arial Narrow" w:cs="Times New Roman"/>
                <w:b/>
              </w:rPr>
            </w:pPr>
            <w:r>
              <w:rPr>
                <w:rFonts w:ascii="Arial Narrow" w:hAnsi="Arial Narrow" w:cs="Times New Roman"/>
                <w:b/>
              </w:rPr>
              <w:t xml:space="preserve">Hotel </w:t>
            </w:r>
            <w:r w:rsidR="00D31E0C">
              <w:rPr>
                <w:rFonts w:ascii="Arial Narrow" w:hAnsi="Arial Narrow" w:cs="Times New Roman"/>
                <w:b/>
              </w:rPr>
              <w:t>Mercure</w:t>
            </w:r>
          </w:p>
        </w:tc>
        <w:tc>
          <w:tcPr>
            <w:tcW w:w="267" w:type="pct"/>
          </w:tcPr>
          <w:p w14:paraId="4F35835F" w14:textId="77777777" w:rsidR="007050B2" w:rsidRPr="00104A51" w:rsidRDefault="007050B2" w:rsidP="007050B2">
            <w:pPr>
              <w:pStyle w:val="Tekstpodstawowy"/>
              <w:jc w:val="center"/>
              <w:rPr>
                <w:rFonts w:ascii="Arial Narrow" w:hAnsi="Arial Narrow" w:cs="Times New Roman"/>
                <w:b/>
              </w:rPr>
            </w:pPr>
            <w:permStart w:id="1314663385" w:edGrp="everyone"/>
            <w:permEnd w:id="1314663385"/>
          </w:p>
        </w:tc>
        <w:tc>
          <w:tcPr>
            <w:tcW w:w="714" w:type="pct"/>
          </w:tcPr>
          <w:p w14:paraId="52FDB30B" w14:textId="4777AD18"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9CA9D89" w14:textId="1E3F08A3" w:rsidR="007050B2" w:rsidRPr="00104A51" w:rsidRDefault="00C53078" w:rsidP="007050B2">
            <w:pPr>
              <w:pStyle w:val="Tekstpodstawowy"/>
              <w:jc w:val="center"/>
              <w:rPr>
                <w:rFonts w:ascii="Arial Narrow" w:hAnsi="Arial Narrow" w:cs="Times New Roman"/>
                <w:b/>
              </w:rPr>
            </w:pPr>
            <w:r>
              <w:rPr>
                <w:rFonts w:ascii="Arial Narrow" w:hAnsi="Arial Narrow" w:cs="Times New Roman"/>
                <w:b/>
              </w:rPr>
              <w:t>Dariusz Natkaniec</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505B07A4" w14:textId="5C5AFA70" w:rsidR="00C608F9" w:rsidRPr="00D31E0C" w:rsidRDefault="00EE52DB" w:rsidP="00C608F9">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3" w:name="_Hlk28506281"/>
      <w:r w:rsidR="00C608F9">
        <w:rPr>
          <w:rFonts w:ascii="Arial Narrow" w:hAnsi="Arial Narrow" w:cs="Times New Roman"/>
          <w:b/>
          <w:sz w:val="22"/>
        </w:rPr>
        <w:t>Cena</w:t>
      </w:r>
      <w:r w:rsidR="00C608F9">
        <w:rPr>
          <w:rFonts w:ascii="Arial Narrow" w:hAnsi="Arial Narrow" w:cs="Times New Roman"/>
          <w:b/>
          <w:strike/>
          <w:sz w:val="22"/>
        </w:rPr>
        <w:t>: 550 zł netto.</w:t>
      </w:r>
      <w:r w:rsidR="00C608F9">
        <w:rPr>
          <w:rFonts w:ascii="Arial Narrow" w:hAnsi="Arial Narrow" w:cs="Times New Roman"/>
          <w:b/>
          <w:sz w:val="22"/>
        </w:rPr>
        <w:t xml:space="preserve"> 520 zł netto – </w:t>
      </w:r>
      <w:r w:rsidR="00C608F9">
        <w:rPr>
          <w:rFonts w:ascii="Arial Narrow" w:hAnsi="Arial Narrow" w:cs="Times New Roman"/>
          <w:b/>
          <w:color w:val="FF0000"/>
          <w:sz w:val="22"/>
        </w:rPr>
        <w:t>promocja I kwartał</w:t>
      </w:r>
      <w:r w:rsidR="00C608F9">
        <w:rPr>
          <w:rFonts w:ascii="Arial Narrow" w:hAnsi="Arial Narrow" w:cs="Times New Roman"/>
          <w:b/>
          <w:color w:val="FF0000"/>
          <w:sz w:val="22"/>
        </w:rPr>
        <w:br/>
      </w:r>
    </w:p>
    <w:p w14:paraId="4F410E85" w14:textId="77777777" w:rsidR="00C608F9" w:rsidRDefault="00C608F9" w:rsidP="00C608F9">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1DF441AF" w14:textId="77777777" w:rsidR="002F646A" w:rsidRDefault="002F646A" w:rsidP="00372975">
      <w:pPr>
        <w:jc w:val="both"/>
        <w:rPr>
          <w:rFonts w:ascii="Arial Narrow" w:hAnsi="Arial Narrow"/>
          <w:b/>
          <w:color w:val="FF0000"/>
          <w:sz w:val="24"/>
          <w:szCs w:val="24"/>
        </w:rPr>
      </w:pPr>
    </w:p>
    <w:p w14:paraId="5F011B94" w14:textId="56705662" w:rsidR="00B232A0" w:rsidRPr="005273AF" w:rsidRDefault="00EF1667" w:rsidP="00372975">
      <w:pPr>
        <w:jc w:val="both"/>
        <w:rPr>
          <w:rFonts w:ascii="Arial Narrow" w:hAnsi="Arial Narrow"/>
          <w:b/>
          <w:color w:val="FF0000"/>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3"/>
      <w:r w:rsidR="00372975" w:rsidRPr="00460FDB">
        <w:rPr>
          <w:rFonts w:ascii="Arial Narrow" w:eastAsia="Calibri" w:hAnsi="Arial Narrow" w:cs="Times New Roman"/>
          <w:b/>
          <w:sz w:val="24"/>
          <w:szCs w:val="24"/>
          <w:lang w:eastAsia="pl-PL"/>
        </w:rPr>
        <w:t>Dariusz Natkaniec -</w:t>
      </w:r>
      <w:r w:rsidR="00372975" w:rsidRPr="00460FDB">
        <w:rPr>
          <w:rFonts w:ascii="Arial Narrow" w:eastAsia="Calibri" w:hAnsi="Arial Narrow" w:cs="Times New Roman"/>
          <w:b/>
          <w:color w:val="FF0000"/>
          <w:sz w:val="24"/>
          <w:szCs w:val="24"/>
          <w:lang w:eastAsia="pl-PL"/>
        </w:rPr>
        <w:t xml:space="preserve"> </w:t>
      </w:r>
      <w:r w:rsidR="00372975" w:rsidRPr="00460FDB">
        <w:rPr>
          <w:rFonts w:ascii="Arial Narrow" w:eastAsia="Times New Roman" w:hAnsi="Arial Narrow" w:cs="Times New Roman"/>
          <w:color w:val="FF0000"/>
          <w:sz w:val="24"/>
          <w:szCs w:val="24"/>
          <w:lang w:eastAsia="pl-PL"/>
        </w:rPr>
        <w:t xml:space="preserve"> </w:t>
      </w:r>
      <w:r w:rsidR="00372975" w:rsidRPr="00262938">
        <w:rPr>
          <w:rFonts w:ascii="Arial Narrow" w:eastAsiaTheme="minorHAnsi" w:hAnsi="Arial Narrow" w:cs="Times New Roman"/>
          <w:kern w:val="0"/>
          <w:sz w:val="20"/>
          <w:szCs w:val="20"/>
          <w:lang w:eastAsia="pl-PL"/>
        </w:rPr>
        <w:t>posiada wieloletnie doświadczenie szkoleniowe, praktyk w dziedzinie legalności zatrudnienia cudzoziemców, urzędnik państwowy instytucji zajmującej się kontrolą przestrzegania przepisów prawa pracy oraz legalności zatrudnienia cudzoziemców, czynny uczestnik wielu konferencji i seminariów poświęconych tematyce legalności pobytu i zatrudnienia cudzoziemców w Polsce, zawodowo współpracuje z organami nadzoru i kontroli zajmującymi się legalizacją pobytu i zatrudnienia cudzoziemców, autor książek i kilkudziesięciu publikacji m.in. z zakresu legalności zatrudnienia cudzoziemców oraz zagadnień związanych z tematem, w szczególności obejmujących prawo pracy oraz postępowanie kontrolne inspektora pracy, a także autor sprawozdań i opracowań dotyczących problematyki zatrudniania cudzoziemców, absolwent studiów doktoranckich Wydziału Prawa i Administracji UŚ w Katowicach.</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bookmarkEnd w:id="4"/>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576E6188" w14:textId="77777777" w:rsidR="005273AF" w:rsidRDefault="005273AF" w:rsidP="005273AF">
      <w:pPr>
        <w:pStyle w:val="Bezodstpw"/>
        <w:jc w:val="center"/>
        <w:rPr>
          <w:rFonts w:ascii="Arial Narrow" w:hAnsi="Arial Narrow"/>
          <w:b/>
          <w:i/>
          <w:iCs/>
          <w:sz w:val="24"/>
          <w:szCs w:val="24"/>
        </w:rPr>
      </w:pPr>
      <w:r w:rsidRPr="00B5507F">
        <w:rPr>
          <w:rFonts w:ascii="Arial Narrow" w:eastAsia="Times New Roman" w:hAnsi="Arial Narrow" w:cs="Arial"/>
          <w:b/>
          <w:bCs/>
          <w:color w:val="FF0000"/>
          <w:kern w:val="1"/>
          <w:sz w:val="32"/>
          <w:szCs w:val="32"/>
          <w:lang w:eastAsia="ar-SA"/>
        </w:rPr>
        <w:t xml:space="preserve">Nadchodzące zmiany </w:t>
      </w:r>
      <w:r>
        <w:rPr>
          <w:rFonts w:ascii="Arial Narrow" w:eastAsia="Times New Roman" w:hAnsi="Arial Narrow" w:cs="Arial"/>
          <w:b/>
          <w:bCs/>
          <w:color w:val="FF0000"/>
          <w:kern w:val="1"/>
          <w:sz w:val="32"/>
          <w:szCs w:val="32"/>
          <w:lang w:eastAsia="ar-SA"/>
        </w:rPr>
        <w:t xml:space="preserve">w prawie pracy w dokumentacji i praktyce </w:t>
      </w:r>
    </w:p>
    <w:p w14:paraId="40A083C9" w14:textId="77777777" w:rsidR="005273AF" w:rsidRPr="00262938" w:rsidRDefault="005273AF" w:rsidP="005273AF">
      <w:pPr>
        <w:pStyle w:val="Bezodstpw"/>
        <w:jc w:val="center"/>
        <w:rPr>
          <w:rFonts w:ascii="Arial Narrow" w:eastAsia="Times New Roman" w:hAnsi="Arial Narrow" w:cs="Arial"/>
          <w:b/>
          <w:bCs/>
          <w:color w:val="FF0000"/>
          <w:kern w:val="1"/>
          <w:sz w:val="32"/>
          <w:szCs w:val="32"/>
          <w:lang w:eastAsia="ar-SA"/>
        </w:rPr>
      </w:pPr>
    </w:p>
    <w:p w14:paraId="68EC86A4" w14:textId="77777777" w:rsidR="005273AF" w:rsidRDefault="005273AF" w:rsidP="005273AF">
      <w:pPr>
        <w:widowControl/>
        <w:autoSpaceDN/>
        <w:spacing w:after="120" w:line="240" w:lineRule="auto"/>
        <w:jc w:val="both"/>
        <w:textAlignment w:val="auto"/>
        <w:rPr>
          <w:rFonts w:ascii="Arial Narrow" w:hAnsi="Arial Narrow" w:cs="Arial"/>
          <w:b/>
          <w:bCs/>
          <w:color w:val="3A3A3A"/>
          <w:kern w:val="1"/>
          <w:lang w:eastAsia="ar-SA"/>
        </w:rPr>
      </w:pPr>
    </w:p>
    <w:p w14:paraId="54F62C80" w14:textId="77777777" w:rsidR="005273AF" w:rsidRPr="00460FDB" w:rsidRDefault="005273AF" w:rsidP="005273AF">
      <w:pPr>
        <w:widowControl/>
        <w:suppressAutoHyphens w:val="0"/>
        <w:autoSpaceDN/>
        <w:spacing w:after="0" w:line="240" w:lineRule="auto"/>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 xml:space="preserve">             Nowe przepisy o pracy zdalnej</w:t>
      </w:r>
    </w:p>
    <w:p w14:paraId="03160C10" w14:textId="77777777" w:rsidR="005273AF" w:rsidRPr="00460FDB" w:rsidRDefault="005273AF" w:rsidP="005273AF">
      <w:pPr>
        <w:widowControl/>
        <w:suppressAutoHyphens w:val="0"/>
        <w:autoSpaceDN/>
        <w:spacing w:after="0" w:line="240" w:lineRule="auto"/>
        <w:textAlignment w:val="auto"/>
        <w:rPr>
          <w:rFonts w:ascii="Arial Narrow" w:eastAsia="Times New Roman" w:hAnsi="Arial Narrow" w:cs="Arial"/>
          <w:b/>
          <w:color w:val="000000"/>
          <w:kern w:val="0"/>
          <w:sz w:val="24"/>
          <w:szCs w:val="24"/>
        </w:rPr>
      </w:pPr>
    </w:p>
    <w:p w14:paraId="7FD961F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wprowadzenie i stosowanie pracy zdalnej w zakładzie pracy,</w:t>
      </w:r>
    </w:p>
    <w:p w14:paraId="518FCAEC"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kwestie wymagające zmian w regulaminie pracy,</w:t>
      </w:r>
    </w:p>
    <w:p w14:paraId="1468A54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porozumienie o pracy zdalnej, regulamin pracy zdalnej. Obowiązkowe postanowienia regulaminu pracy zdalnej,</w:t>
      </w:r>
    </w:p>
    <w:p w14:paraId="0D98D9E7"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koszty pracy zdalnej. Czy i w jakiej wysokości pracodawca będzie miał obowiązek pokrycia kosztów ponoszonych przez pracownika przy pracy zdalnej,</w:t>
      </w:r>
    </w:p>
    <w:p w14:paraId="3BEC2F3C"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praca zdalna rodziców wychowujących dzieci do 4. roku życia,</w:t>
      </w:r>
    </w:p>
    <w:p w14:paraId="6EDCF31A"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warunki bhp w miejscu świadczenia pracy zdalnej,</w:t>
      </w:r>
    </w:p>
    <w:p w14:paraId="2D67124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kiedy pracodawca będzie mógł narzucić pracownikom pracę zdalną?</w:t>
      </w:r>
    </w:p>
    <w:p w14:paraId="6634DB92"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wybór miejsca pracy zdalnej; czy pracownik będzie mógł świadczyć pracę zdalną za granicą?</w:t>
      </w:r>
    </w:p>
    <w:p w14:paraId="14D86F92"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kontrola w miejscu wykonywania pracy, zasady kontroli. Czy pracodawca będzie mógł kontrolować pracownika w domu? Kto może prowadzić kontrolę w miejscu pracy? jaki będzie dopuszczalny zakres kontroli?</w:t>
      </w:r>
    </w:p>
    <w:p w14:paraId="4E3CED5C"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treść umowy o pracę w przypadku świadczenia pracy zdalnej,</w:t>
      </w:r>
    </w:p>
    <w:p w14:paraId="126ABA8A"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color w:val="000000"/>
          <w:kern w:val="0"/>
          <w:sz w:val="24"/>
          <w:szCs w:val="24"/>
        </w:rPr>
        <w:t xml:space="preserve">dokumentacja związana z bezpieczeństwem świadczenia pracy zdalnej: ocena ryzyka </w:t>
      </w:r>
      <w:r w:rsidRPr="00460FDB">
        <w:rPr>
          <w:rFonts w:ascii="Arial Narrow" w:eastAsia="Times New Roman" w:hAnsi="Arial Narrow" w:cs="Arial"/>
          <w:kern w:val="0"/>
          <w:sz w:val="24"/>
          <w:szCs w:val="24"/>
        </w:rPr>
        <w:t>zawodowego, instrukcja bhp przy pracy zdalnej, zasady szkolenia w zakresie bhp dla pracowników zdalnych,</w:t>
      </w:r>
    </w:p>
    <w:p w14:paraId="23830AFD"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wypadki przy pracy zdalnej, postępowanie powypadkowe,</w:t>
      </w:r>
    </w:p>
    <w:p w14:paraId="754950FE"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okazjonalne świadczenie pracy zdalnej – wymiar dni, zasady wprowadzenia okazjonalnej pracy zdalnej.</w:t>
      </w:r>
    </w:p>
    <w:p w14:paraId="18B50C3F" w14:textId="77777777" w:rsidR="005273AF" w:rsidRPr="00460FDB" w:rsidRDefault="005273AF" w:rsidP="005273AF">
      <w:pPr>
        <w:widowControl/>
        <w:suppressAutoHyphens w:val="0"/>
        <w:autoSpaceDN/>
        <w:spacing w:after="0" w:line="240" w:lineRule="auto"/>
        <w:jc w:val="both"/>
        <w:textAlignment w:val="auto"/>
        <w:rPr>
          <w:rFonts w:ascii="Arial Narrow" w:eastAsia="Times New Roman" w:hAnsi="Arial Narrow" w:cs="Arial"/>
          <w:color w:val="000000"/>
          <w:kern w:val="0"/>
          <w:sz w:val="24"/>
          <w:szCs w:val="24"/>
        </w:rPr>
      </w:pPr>
    </w:p>
    <w:p w14:paraId="74A39CFB"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 xml:space="preserve">Kontrola trzeźwości pracowników w miejscu pracy  </w:t>
      </w:r>
    </w:p>
    <w:p w14:paraId="43CA500E"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p>
    <w:p w14:paraId="436E0120"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kern w:val="0"/>
          <w:sz w:val="24"/>
          <w:szCs w:val="24"/>
        </w:rPr>
        <w:t xml:space="preserve">wprowadzenie w zakładzie pracy prewencyjnej kontroli trzeźwości pracowników – </w:t>
      </w:r>
      <w:r w:rsidRPr="00460FDB">
        <w:rPr>
          <w:rFonts w:ascii="Arial Narrow" w:eastAsia="Times New Roman" w:hAnsi="Arial Narrow" w:cs="Arial"/>
          <w:color w:val="000000"/>
          <w:kern w:val="0"/>
          <w:sz w:val="24"/>
          <w:szCs w:val="24"/>
        </w:rPr>
        <w:t>uprawnienie czy obowiązek?</w:t>
      </w:r>
    </w:p>
    <w:p w14:paraId="6E2E12DF"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kontrola trzeźwości a przepisy RODO,</w:t>
      </w:r>
    </w:p>
    <w:p w14:paraId="7896E49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możliwość kontroli losowej, czy będzie dopuszczalne badanie trzeźwości wszystkich pracowników zakładu pracy?</w:t>
      </w:r>
    </w:p>
    <w:p w14:paraId="4FCBED70"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wymagane zapisy regulaminu pracy o kontroli trzeźwości,</w:t>
      </w:r>
    </w:p>
    <w:p w14:paraId="5D60BC4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warunki legalnej kontroli trzeźwości  - prewencyjnej oraz na wypadek podejrzenia, że pracownik uchybił obowiązkowi trzeźwości,</w:t>
      </w:r>
    </w:p>
    <w:p w14:paraId="6323BA6B"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kiedy pracodawca powinien wezwać organy Policji do kontroli pracownika?</w:t>
      </w:r>
    </w:p>
    <w:p w14:paraId="6CB397C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wyniki kontroli trzeźwości a obowiązki i uprawnienia pracodawcy,</w:t>
      </w:r>
    </w:p>
    <w:p w14:paraId="40D27F4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czas poddawania się przez pracownika kontroli trzeźwości a czas pracy i prawo do wynagrodzenia,</w:t>
      </w:r>
    </w:p>
    <w:p w14:paraId="666922C0"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dokumentowanie kontroli trzeźwości oraz okres archiwizowania dokumentacji,</w:t>
      </w:r>
    </w:p>
    <w:p w14:paraId="6A6711CA"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kontrola na obecność innych środków odurzających w organizmie pracownika.</w:t>
      </w:r>
    </w:p>
    <w:p w14:paraId="0F225DC2" w14:textId="77777777" w:rsidR="005273AF" w:rsidRPr="00460FDB" w:rsidRDefault="005273AF" w:rsidP="005273AF">
      <w:pPr>
        <w:widowControl/>
        <w:suppressAutoHyphens w:val="0"/>
        <w:autoSpaceDN/>
        <w:spacing w:after="0" w:line="240" w:lineRule="auto"/>
        <w:jc w:val="both"/>
        <w:textAlignment w:val="auto"/>
        <w:rPr>
          <w:rFonts w:ascii="Arial Narrow" w:eastAsia="Times New Roman" w:hAnsi="Arial Narrow" w:cs="Arial"/>
          <w:color w:val="000000"/>
          <w:kern w:val="0"/>
          <w:sz w:val="24"/>
          <w:szCs w:val="24"/>
        </w:rPr>
      </w:pPr>
    </w:p>
    <w:p w14:paraId="34739A1E"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kern w:val="0"/>
          <w:sz w:val="24"/>
          <w:szCs w:val="24"/>
        </w:rPr>
      </w:pPr>
      <w:r w:rsidRPr="00460FDB">
        <w:rPr>
          <w:rFonts w:ascii="Arial Narrow" w:eastAsia="Times New Roman" w:hAnsi="Arial Narrow" w:cs="Arial"/>
          <w:b/>
          <w:kern w:val="0"/>
          <w:sz w:val="24"/>
          <w:szCs w:val="24"/>
        </w:rPr>
        <w:t>Work-life-balance – rodzicielstwo w przepisach prawa pracy w 2022 r. i wpływ zmian na organizację pracy w zakładzie pracy</w:t>
      </w:r>
    </w:p>
    <w:p w14:paraId="51EC450B"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kern w:val="0"/>
          <w:sz w:val="24"/>
          <w:szCs w:val="24"/>
        </w:rPr>
      </w:pPr>
    </w:p>
    <w:p w14:paraId="70219028"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lastRenderedPageBreak/>
        <w:t>zmiana przepisów o rodzicielstwie - wdrożenie przepisów dyrektywy UE 2019/1158,</w:t>
      </w:r>
    </w:p>
    <w:p w14:paraId="52A4549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cztery miesiące urlopu rodzicielskiego dla obojga rodziców - nowe zasady korzystania z urlopu; czy urlop rodzicielski będzie musiał być wykorzystany bezpośrednio po urlopie macierzyńskim?</w:t>
      </w:r>
    </w:p>
    <w:p w14:paraId="054D89F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dwa miesiące urlopu rodzicielskiego dla każdego z rodziców bez możliwości przeniesienia,</w:t>
      </w:r>
    </w:p>
    <w:p w14:paraId="0AB24DD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nowy termin na wykorzystanie urlopu ojcowskiego,</w:t>
      </w:r>
    </w:p>
    <w:p w14:paraId="75607EFA"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odroczenie terminu urlopu rodzicielskiego przez pracodawcę – na jakich zasadach?</w:t>
      </w:r>
    </w:p>
    <w:p w14:paraId="11F4292B"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urlop opiekuńczy – wymiar urlopu, dla kogo i na jakich warunkach?</w:t>
      </w:r>
    </w:p>
    <w:p w14:paraId="5EDC2345"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zwolnienie od pracy z powodu siły wyższej – nowe uprawnienie pracownicze, warunki korzystania, czy pracodawca będzie finansował zwolnienie?</w:t>
      </w:r>
    </w:p>
    <w:p w14:paraId="3E42074D"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 xml:space="preserve">elastyczna organizacja pracy dla rodziców dzieci do 8. roku życia – kiedy „żądanie elastycznej organizacji pracy” będzie wiązało się z obowiązkami pracodawcy? </w:t>
      </w:r>
    </w:p>
    <w:p w14:paraId="061EEAC5"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kern w:val="0"/>
          <w:sz w:val="24"/>
          <w:szCs w:val="24"/>
        </w:rPr>
        <w:t xml:space="preserve">zakaz zwalniania i podejmowania działań zmierzających do zwolnienia pracowników </w:t>
      </w:r>
      <w:r w:rsidRPr="00460FDB">
        <w:rPr>
          <w:rFonts w:ascii="Arial Narrow" w:eastAsia="Times New Roman" w:hAnsi="Arial Narrow" w:cs="Arial"/>
          <w:color w:val="000000"/>
          <w:kern w:val="0"/>
          <w:sz w:val="24"/>
          <w:szCs w:val="24"/>
        </w:rPr>
        <w:t>występujących z wnioskami o urlopy,</w:t>
      </w:r>
    </w:p>
    <w:p w14:paraId="6B213A37"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odformalizowanie wnioskowania o korzystanie z uprawnień związanych z rodzicielstwem, przejście na „postać papierową lub elektroniczną” zamiast formy pisemnej – kiedy i na jakich zasadach?</w:t>
      </w:r>
    </w:p>
    <w:p w14:paraId="74C34816" w14:textId="77777777" w:rsidR="005273AF" w:rsidRPr="00460FDB" w:rsidRDefault="005273AF" w:rsidP="005273AF">
      <w:pPr>
        <w:widowControl/>
        <w:suppressAutoHyphens w:val="0"/>
        <w:autoSpaceDN/>
        <w:spacing w:after="0" w:line="240" w:lineRule="auto"/>
        <w:ind w:left="142" w:hanging="142"/>
        <w:jc w:val="both"/>
        <w:textAlignment w:val="auto"/>
        <w:rPr>
          <w:rFonts w:ascii="Arial Narrow" w:eastAsia="Times New Roman" w:hAnsi="Arial Narrow" w:cs="Arial"/>
          <w:color w:val="000000"/>
          <w:kern w:val="0"/>
          <w:sz w:val="24"/>
          <w:szCs w:val="24"/>
        </w:rPr>
      </w:pPr>
    </w:p>
    <w:p w14:paraId="02B17ACB"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Przejrzyste i przewidywalne warunki pracy w Unii Europejskiej i inne zmiany – nowelizacja przepisów o umowach o pracę oraz konieczne działania w związku z nowymi obowiązkami</w:t>
      </w:r>
    </w:p>
    <w:p w14:paraId="6DC06887"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p>
    <w:p w14:paraId="0976F863"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rozszerzenie dodatkowej informacji o warunkach zatrudnienia z art. 29 § 3 Kp – jak ją prawidłowo redagować i jaki powinna mieć zakres - omówienie każdego punktu,</w:t>
      </w:r>
    </w:p>
    <w:p w14:paraId="3423A36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 xml:space="preserve">zmiany w umowach na okres próbny - uzależnienie długości umowy na okres próbny od przyszłej umowy o pracę; możliwość wydłużenia okresu próbnego w przypadku nieobecności pracownika w pracy, </w:t>
      </w:r>
    </w:p>
    <w:p w14:paraId="563FFA5C" w14:textId="77777777" w:rsidR="005273AF" w:rsidRPr="00460FDB" w:rsidRDefault="005273AF" w:rsidP="005273AF">
      <w:pPr>
        <w:widowControl/>
        <w:numPr>
          <w:ilvl w:val="0"/>
          <w:numId w:val="49"/>
        </w:numPr>
        <w:tabs>
          <w:tab w:val="left" w:pos="142"/>
        </w:tabs>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nowe przepisy o zakazie konkurencji – możliwość podejmowania dodatkowej pracy u innych pracodawców, przepisy szczególne o działalności zarobkowej,</w:t>
      </w:r>
    </w:p>
    <w:p w14:paraId="6F747CC0"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prawo wnioskowania o zmianę warunków zatrudnienia na bardziej przewidywalne i bezpieczniejsze – czy pracodawca będzie zobowiązany uwzględnić wniosek? Jakie obowiązki będzie miał pracodawca w przypadku wpływu takiego wniosku?</w:t>
      </w:r>
    </w:p>
    <w:p w14:paraId="62E2D01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zasady przeprowadzania szkoleń pracowniczych – kiedy płatne szkolenia pracownika w zakresie pracy, do której został zatrudniony muszą zostać sfinansowane przez pracodawcę i odbywać się w czasie pracy? Czy pracodawca będzie mógł objąć pracownika „lojalką” w przypadku sfinansowania szkolenia na nowych zasadach?</w:t>
      </w:r>
    </w:p>
    <w:p w14:paraId="325572B2"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zmiana przepisów o ochronie trwałości umów o pracę na czas określony - konieczność uzasadnienia wypowiedzeń, prowadzenia konsultacji związkowej oraz rozszerzenie prawa pracownika do żądania w sądzie przywrócenia do pracy,</w:t>
      </w:r>
    </w:p>
    <w:p w14:paraId="131DF1EE"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możliwość zawierania umów o pracę, umów zleceń na odległość, zawieranie umów o pracę w formie elektronicznej,</w:t>
      </w:r>
    </w:p>
    <w:p w14:paraId="7ED6F413"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przerwy w czasie pracy – jaka organizacja czasu pracy wymusi wprowadzenie nowych przerw? Zasady ich udzielania i rozliczania,</w:t>
      </w:r>
    </w:p>
    <w:p w14:paraId="175E7B1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przepisy wykroczeniowe - które zmienione przepisy zostaną będą wiązały się z sankcjami za ich nieprzestrzeganie?</w:t>
      </w:r>
    </w:p>
    <w:p w14:paraId="1EA4A9F9" w14:textId="77777777" w:rsidR="005273AF" w:rsidRDefault="005273AF" w:rsidP="005273AF">
      <w:pPr>
        <w:suppressAutoHyphens w:val="0"/>
        <w:autoSpaceDN/>
        <w:contextualSpacing/>
        <w:textAlignment w:val="auto"/>
        <w:rPr>
          <w:rFonts w:ascii="Arial Narrow" w:eastAsiaTheme="minorHAnsi" w:hAnsi="Arial Narrow" w:cs="Arial"/>
          <w:kern w:val="0"/>
          <w:sz w:val="24"/>
          <w:szCs w:val="24"/>
        </w:rPr>
      </w:pPr>
    </w:p>
    <w:p w14:paraId="2E198B07" w14:textId="77777777" w:rsidR="005273AF" w:rsidRDefault="005273AF" w:rsidP="005273AF">
      <w:pPr>
        <w:suppressAutoHyphens w:val="0"/>
        <w:autoSpaceDN/>
        <w:contextualSpacing/>
        <w:textAlignment w:val="auto"/>
        <w:rPr>
          <w:rFonts w:ascii="Arial Narrow" w:eastAsiaTheme="minorHAnsi" w:hAnsi="Arial Narrow" w:cs="Arial"/>
          <w:kern w:val="0"/>
          <w:sz w:val="24"/>
          <w:szCs w:val="24"/>
        </w:rPr>
      </w:pPr>
    </w:p>
    <w:p w14:paraId="24F74FA8" w14:textId="77777777" w:rsidR="005273AF" w:rsidRDefault="005273AF" w:rsidP="005273AF">
      <w:pPr>
        <w:suppressAutoHyphens w:val="0"/>
        <w:autoSpaceDN/>
        <w:contextualSpacing/>
        <w:textAlignment w:val="auto"/>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102DEE"/>
    <w:multiLevelType w:val="hybridMultilevel"/>
    <w:tmpl w:val="9E2207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3"/>
  </w:num>
  <w:num w:numId="5" w16cid:durableId="1095517474">
    <w:abstractNumId w:val="21"/>
  </w:num>
  <w:num w:numId="6" w16cid:durableId="503279571">
    <w:abstractNumId w:val="39"/>
  </w:num>
  <w:num w:numId="7" w16cid:durableId="943683199">
    <w:abstractNumId w:val="35"/>
  </w:num>
  <w:num w:numId="8" w16cid:durableId="1685938094">
    <w:abstractNumId w:val="47"/>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1"/>
  </w:num>
  <w:num w:numId="40" w16cid:durableId="1921064071">
    <w:abstractNumId w:val="18"/>
  </w:num>
  <w:num w:numId="41" w16cid:durableId="618998675">
    <w:abstractNumId w:val="30"/>
  </w:num>
  <w:num w:numId="42" w16cid:durableId="862520571">
    <w:abstractNumId w:val="31"/>
  </w:num>
  <w:num w:numId="43" w16cid:durableId="1237669279">
    <w:abstractNumId w:val="42"/>
  </w:num>
  <w:num w:numId="44" w16cid:durableId="1791053063">
    <w:abstractNumId w:val="16"/>
  </w:num>
  <w:num w:numId="45" w16cid:durableId="945769079">
    <w:abstractNumId w:val="17"/>
  </w:num>
  <w:num w:numId="46" w16cid:durableId="49614998">
    <w:abstractNumId w:val="26"/>
  </w:num>
  <w:num w:numId="47" w16cid:durableId="1149519414">
    <w:abstractNumId w:val="43"/>
  </w:num>
  <w:num w:numId="48" w16cid:durableId="1511487738">
    <w:abstractNumId w:val="24"/>
  </w:num>
  <w:num w:numId="49" w16cid:durableId="424496049">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0h5jOvxEdUpGEBn/5Zh7DSaXE8cU8uiXJyuOaL0CyB5pwCRdLO5qZEXEuef+biaTU9yKHerAkrjCx2WjioHFmQ==" w:salt="FDdsm4pJl3ta11gEQxII1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2822"/>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2F646A"/>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297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538DD"/>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273AF"/>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1F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53FC"/>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3718"/>
    <w:rsid w:val="00A7495B"/>
    <w:rsid w:val="00A81960"/>
    <w:rsid w:val="00A82981"/>
    <w:rsid w:val="00A84BAD"/>
    <w:rsid w:val="00A858D5"/>
    <w:rsid w:val="00A90812"/>
    <w:rsid w:val="00A93DB2"/>
    <w:rsid w:val="00AA093C"/>
    <w:rsid w:val="00AA1488"/>
    <w:rsid w:val="00AA4CB4"/>
    <w:rsid w:val="00AA6369"/>
    <w:rsid w:val="00AB5F39"/>
    <w:rsid w:val="00AB667D"/>
    <w:rsid w:val="00AC5C78"/>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3078"/>
    <w:rsid w:val="00C54A5D"/>
    <w:rsid w:val="00C56B33"/>
    <w:rsid w:val="00C606B4"/>
    <w:rsid w:val="00C608F9"/>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14646"/>
    <w:rsid w:val="00D234BB"/>
    <w:rsid w:val="00D31E0C"/>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CCE"/>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E74DC"/>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86718134">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1584</Words>
  <Characters>9508</Characters>
  <Application>Microsoft Office Word</Application>
  <DocSecurity>8</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262</cp:revision>
  <cp:lastPrinted>2019-04-30T11:10:00Z</cp:lastPrinted>
  <dcterms:created xsi:type="dcterms:W3CDTF">2022-08-17T09:36:00Z</dcterms:created>
  <dcterms:modified xsi:type="dcterms:W3CDTF">2023-01-17T14:17:00Z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