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11AD9CE6" w14:textId="77777777" w:rsidR="001A0C89" w:rsidRDefault="001A0C89" w:rsidP="001A0C89">
      <w:pPr>
        <w:tabs>
          <w:tab w:val="left" w:pos="0"/>
        </w:tabs>
        <w:textAlignment w:val="auto"/>
        <w:rPr>
          <w:b/>
          <w:bCs/>
          <w:color w:val="FF0000"/>
          <w:sz w:val="32"/>
          <w:szCs w:val="32"/>
        </w:rPr>
      </w:pPr>
      <w:bookmarkStart w:id="0" w:name="_Hlk97798118"/>
    </w:p>
    <w:p w14:paraId="2281A0CD" w14:textId="66B9428A" w:rsidR="001A0C89" w:rsidRPr="001A0C89" w:rsidRDefault="001A0C89" w:rsidP="001A0C89">
      <w:pPr>
        <w:tabs>
          <w:tab w:val="left" w:pos="0"/>
        </w:tabs>
        <w:jc w:val="center"/>
        <w:textAlignment w:val="auto"/>
        <w:rPr>
          <w:rFonts w:ascii="Arial Narrow" w:hAnsi="Arial Narrow"/>
          <w:b/>
          <w:bCs/>
          <w:color w:val="FF0000"/>
          <w:sz w:val="24"/>
          <w:szCs w:val="24"/>
          <w:shd w:val="clear" w:color="auto" w:fill="FFFFFF"/>
        </w:rPr>
      </w:pPr>
      <w:r w:rsidRPr="001A0C89">
        <w:rPr>
          <w:rStyle w:val="markedcontent"/>
          <w:rFonts w:ascii="Arial Narrow" w:hAnsi="Arial Narrow"/>
          <w:b/>
          <w:bCs/>
          <w:color w:val="FF0000"/>
          <w:sz w:val="28"/>
          <w:szCs w:val="28"/>
        </w:rPr>
        <w:t>Zatrudnianie cudzoziemców w Polsce</w:t>
      </w:r>
      <w:r w:rsidRPr="001A0C89">
        <w:rPr>
          <w:rFonts w:ascii="Arial Narrow" w:hAnsi="Arial Narrow"/>
          <w:b/>
          <w:bCs/>
          <w:color w:val="FF0000"/>
          <w:sz w:val="28"/>
          <w:szCs w:val="28"/>
        </w:rPr>
        <w:t xml:space="preserve"> </w:t>
      </w:r>
      <w:bookmarkEnd w:id="0"/>
      <w:r w:rsidRPr="001A0C89">
        <w:rPr>
          <w:rStyle w:val="markedcontent"/>
          <w:rFonts w:ascii="Arial Narrow" w:hAnsi="Arial Narrow"/>
          <w:b/>
          <w:bCs/>
          <w:color w:val="FF0000"/>
          <w:sz w:val="28"/>
          <w:szCs w:val="28"/>
        </w:rPr>
        <w:t>w 2022 r. – prawo, praktyka – jak uniknąć popełniania błędów w dokumentacji.</w:t>
      </w:r>
    </w:p>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F63D44">
        <w:tc>
          <w:tcPr>
            <w:tcW w:w="1445" w:type="pct"/>
          </w:tcPr>
          <w:p w14:paraId="0A20DCC3" w14:textId="1494C9AF" w:rsidR="00EE52DB" w:rsidRPr="00EE52DB" w:rsidRDefault="0085100B"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8734B8">
              <w:rPr>
                <w:rFonts w:ascii="Arial Narrow" w:hAnsi="Arial Narrow" w:cs="Times New Roman"/>
                <w:b/>
                <w:sz w:val="24"/>
                <w:szCs w:val="24"/>
              </w:rPr>
              <w:t>6</w:t>
            </w:r>
            <w:r w:rsidR="00EE52DB" w:rsidRPr="00EE52DB">
              <w:rPr>
                <w:rFonts w:ascii="Arial Narrow" w:hAnsi="Arial Narrow" w:cs="Times New Roman"/>
                <w:b/>
                <w:sz w:val="24"/>
                <w:szCs w:val="24"/>
              </w:rPr>
              <w:t>.0</w:t>
            </w:r>
            <w:r w:rsidR="000A55DF">
              <w:rPr>
                <w:rFonts w:ascii="Arial Narrow" w:hAnsi="Arial Narrow" w:cs="Times New Roman"/>
                <w:b/>
                <w:sz w:val="24"/>
                <w:szCs w:val="24"/>
              </w:rPr>
              <w:t>9</w:t>
            </w:r>
            <w:r w:rsidR="00EE52DB" w:rsidRPr="00EE52DB">
              <w:rPr>
                <w:rFonts w:ascii="Arial Narrow" w:hAnsi="Arial Narrow" w:cs="Times New Roman"/>
                <w:b/>
                <w:sz w:val="24"/>
                <w:szCs w:val="24"/>
              </w:rPr>
              <w:t>.2022</w:t>
            </w:r>
          </w:p>
        </w:tc>
        <w:tc>
          <w:tcPr>
            <w:tcW w:w="26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ermStart w:id="828454823" w:edGrp="everyone"/>
            <w:permEnd w:id="828454823"/>
          </w:p>
        </w:tc>
        <w:tc>
          <w:tcPr>
            <w:tcW w:w="1182" w:type="pct"/>
          </w:tcPr>
          <w:p w14:paraId="0DE79DD7" w14:textId="10E8911D" w:rsidR="00EE52DB" w:rsidRPr="000A55DF" w:rsidRDefault="00EE52DB" w:rsidP="00EE52DB">
            <w:pPr>
              <w:pStyle w:val="Tekstpodstawowy"/>
              <w:jc w:val="center"/>
              <w:rPr>
                <w:rFonts w:ascii="Arial Narrow" w:hAnsi="Arial Narrow" w:cs="Times New Roman"/>
                <w:b/>
              </w:rPr>
            </w:pPr>
            <w:r w:rsidRPr="000A55DF">
              <w:rPr>
                <w:rFonts w:ascii="Arial Narrow" w:hAnsi="Arial Narrow" w:cs="Times New Roman"/>
                <w:b/>
              </w:rPr>
              <w:t>9.00-1</w:t>
            </w:r>
            <w:r w:rsidR="00C402D1">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099F0093" w14:textId="7CABC35F" w:rsidR="00EE52DB" w:rsidRPr="00EE52DB" w:rsidRDefault="003801BE"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r w:rsidR="00EE52DB" w:rsidRPr="00EE52DB" w14:paraId="7D731382" w14:textId="77777777" w:rsidTr="00F63D44">
        <w:tc>
          <w:tcPr>
            <w:tcW w:w="1445" w:type="pct"/>
          </w:tcPr>
          <w:p w14:paraId="0E61C55F" w14:textId="3149E5D4" w:rsidR="00EE52DB" w:rsidRPr="00EE52DB" w:rsidRDefault="000A55DF"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5A2A1C">
              <w:rPr>
                <w:rFonts w:ascii="Arial Narrow" w:hAnsi="Arial Narrow" w:cs="Times New Roman"/>
                <w:b/>
                <w:sz w:val="24"/>
                <w:szCs w:val="24"/>
              </w:rPr>
              <w:t>1</w:t>
            </w:r>
            <w:r>
              <w:rPr>
                <w:rFonts w:ascii="Arial Narrow" w:hAnsi="Arial Narrow" w:cs="Times New Roman"/>
                <w:b/>
                <w:sz w:val="24"/>
                <w:szCs w:val="24"/>
              </w:rPr>
              <w:t>.10.2022</w:t>
            </w:r>
            <w:r w:rsidR="00EE52DB">
              <w:rPr>
                <w:rFonts w:ascii="Arial Narrow" w:hAnsi="Arial Narrow" w:cs="Times New Roman"/>
                <w:b/>
                <w:sz w:val="24"/>
                <w:szCs w:val="24"/>
              </w:rPr>
              <w:t xml:space="preserve"> </w:t>
            </w:r>
          </w:p>
        </w:tc>
        <w:tc>
          <w:tcPr>
            <w:tcW w:w="26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1159602950" w:edGrp="everyone"/>
            <w:permEnd w:id="1159602950"/>
          </w:p>
        </w:tc>
        <w:tc>
          <w:tcPr>
            <w:tcW w:w="1182" w:type="pct"/>
          </w:tcPr>
          <w:p w14:paraId="69288A61" w14:textId="24900D04" w:rsidR="00EE52DB" w:rsidRPr="00EE52DB" w:rsidRDefault="000A55DF" w:rsidP="00EE52DB">
            <w:pPr>
              <w:pStyle w:val="Tekstpodstawowy"/>
              <w:jc w:val="center"/>
              <w:rPr>
                <w:rFonts w:ascii="Arial Narrow" w:hAnsi="Arial Narrow" w:cs="Times New Roman"/>
                <w:b/>
                <w:sz w:val="24"/>
                <w:szCs w:val="24"/>
              </w:rPr>
            </w:pPr>
            <w:r w:rsidRPr="000A55DF">
              <w:rPr>
                <w:rFonts w:ascii="Arial Narrow" w:hAnsi="Arial Narrow" w:cs="Times New Roman"/>
                <w:b/>
              </w:rPr>
              <w:t>9.00-1</w:t>
            </w:r>
            <w:r w:rsidR="00C402D1">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53519FFA" w14:textId="3D7C6838" w:rsidR="00EE52DB" w:rsidRPr="00EE52DB" w:rsidRDefault="003801BE"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r w:rsidR="006D579F" w:rsidRPr="00EE52DB" w14:paraId="4D787E42" w14:textId="77777777" w:rsidTr="00F63D44">
        <w:tc>
          <w:tcPr>
            <w:tcW w:w="1445" w:type="pct"/>
          </w:tcPr>
          <w:p w14:paraId="2793F8E7" w14:textId="01C05183" w:rsidR="006D579F" w:rsidRDefault="005A2A1C" w:rsidP="00EE52DB">
            <w:pPr>
              <w:pStyle w:val="Tekstpodstawowy"/>
              <w:jc w:val="center"/>
              <w:rPr>
                <w:rFonts w:ascii="Arial Narrow" w:hAnsi="Arial Narrow" w:cs="Times New Roman"/>
                <w:b/>
                <w:sz w:val="24"/>
                <w:szCs w:val="24"/>
              </w:rPr>
            </w:pPr>
            <w:r>
              <w:rPr>
                <w:rFonts w:ascii="Arial Narrow" w:hAnsi="Arial Narrow" w:cs="Times New Roman"/>
                <w:b/>
                <w:sz w:val="24"/>
                <w:szCs w:val="24"/>
              </w:rPr>
              <w:t>24.10.2022</w:t>
            </w:r>
          </w:p>
        </w:tc>
        <w:tc>
          <w:tcPr>
            <w:tcW w:w="265" w:type="pct"/>
          </w:tcPr>
          <w:p w14:paraId="72C07F7F" w14:textId="77777777" w:rsidR="006D579F" w:rsidRPr="00EE52DB" w:rsidRDefault="006D579F" w:rsidP="00EE52DB">
            <w:pPr>
              <w:pStyle w:val="Tekstpodstawowy"/>
              <w:jc w:val="center"/>
              <w:rPr>
                <w:rFonts w:ascii="Arial Narrow" w:hAnsi="Arial Narrow" w:cs="Times New Roman"/>
                <w:b/>
                <w:sz w:val="24"/>
                <w:szCs w:val="24"/>
              </w:rPr>
            </w:pPr>
            <w:permStart w:id="1545818796" w:edGrp="everyone"/>
            <w:permEnd w:id="1545818796"/>
          </w:p>
        </w:tc>
        <w:tc>
          <w:tcPr>
            <w:tcW w:w="1182" w:type="pct"/>
          </w:tcPr>
          <w:p w14:paraId="5DE81336" w14:textId="2EB796D1" w:rsidR="006D579F" w:rsidRPr="000A55DF" w:rsidRDefault="005A2A1C" w:rsidP="00EE52DB">
            <w:pPr>
              <w:pStyle w:val="Tekstpodstawowy"/>
              <w:jc w:val="center"/>
              <w:rPr>
                <w:rFonts w:ascii="Arial Narrow" w:hAnsi="Arial Narrow" w:cs="Times New Roman"/>
                <w:b/>
              </w:rPr>
            </w:pPr>
            <w:r w:rsidRPr="000A55DF">
              <w:rPr>
                <w:rFonts w:ascii="Arial Narrow" w:hAnsi="Arial Narrow" w:cs="Times New Roman"/>
                <w:b/>
              </w:rPr>
              <w:t>9.00-1</w:t>
            </w:r>
            <w:r w:rsidR="00C402D1">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2B35E3FF" w14:textId="0D349A3A" w:rsidR="006D579F" w:rsidRPr="00EE52DB" w:rsidRDefault="003801BE"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bl>
    <w:p w14:paraId="42A37651" w14:textId="31F86F29"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DA7D35">
        <w:rPr>
          <w:rFonts w:ascii="Arial Narrow" w:hAnsi="Arial Narrow" w:cs="Times New Roman"/>
          <w:b/>
          <w:sz w:val="22"/>
        </w:rPr>
        <w:t>8</w:t>
      </w:r>
      <w:r w:rsidR="0035408E" w:rsidRPr="002A7703">
        <w:rPr>
          <w:rFonts w:ascii="Arial Narrow" w:hAnsi="Arial Narrow" w:cs="Times New Roman"/>
          <w:b/>
          <w:sz w:val="22"/>
        </w:rPr>
        <w:t>0</w:t>
      </w:r>
      <w:r w:rsidR="003C2D5B">
        <w:rPr>
          <w:rFonts w:ascii="Arial Narrow" w:hAnsi="Arial Narrow" w:cs="Times New Roman"/>
          <w:b/>
          <w:sz w:val="22"/>
        </w:rPr>
        <w:t xml:space="preserve"> zł </w:t>
      </w:r>
      <w:r w:rsidR="0035408E" w:rsidRPr="002A7703">
        <w:rPr>
          <w:rFonts w:ascii="Arial Narrow" w:hAnsi="Arial Narrow" w:cs="Times New Roman"/>
          <w:b/>
          <w:sz w:val="22"/>
        </w:rPr>
        <w:t xml:space="preserve">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p>
    <w:p w14:paraId="69950F13" w14:textId="77777777" w:rsidR="006D579F" w:rsidRDefault="0035408E" w:rsidP="006D579F">
      <w:pPr>
        <w:jc w:val="both"/>
        <w:rPr>
          <w:rFonts w:ascii="Arial Narrow" w:hAnsi="Arial Narrow"/>
          <w:b/>
          <w:color w:val="FF0000"/>
          <w:sz w:val="24"/>
          <w:szCs w:val="24"/>
        </w:rPr>
      </w:pPr>
      <w:bookmarkStart w:id="1" w:name="_Hlk28506281"/>
      <w:r w:rsidRPr="00EE52DB">
        <w:rPr>
          <w:rFonts w:ascii="Arial Narrow" w:hAnsi="Arial Narrow"/>
          <w:b/>
          <w:color w:val="FF0000"/>
          <w:sz w:val="24"/>
          <w:szCs w:val="24"/>
        </w:rPr>
        <w:br/>
      </w:r>
    </w:p>
    <w:p w14:paraId="27AE762D" w14:textId="08110CEC" w:rsidR="001A0C89" w:rsidRDefault="00EF1667" w:rsidP="001A0C89">
      <w:pPr>
        <w:rPr>
          <w:rFonts w:ascii="Arial Narrow" w:eastAsiaTheme="minorHAnsi" w:hAnsi="Arial Narrow" w:cs="Times New Roman"/>
          <w:kern w:val="0"/>
          <w:lang w:eastAsia="pl-PL"/>
        </w:rPr>
      </w:pPr>
      <w:r w:rsidRPr="001A0C89">
        <w:rPr>
          <w:rFonts w:ascii="Arial Narrow" w:hAnsi="Arial Narrow"/>
          <w:b/>
          <w:color w:val="FF0000"/>
          <w:sz w:val="20"/>
          <w:szCs w:val="20"/>
        </w:rPr>
        <w:t>Wykładowca:</w:t>
      </w:r>
      <w:r w:rsidR="006D2D2A" w:rsidRPr="001A0C89">
        <w:rPr>
          <w:rFonts w:ascii="Arial Narrow" w:hAnsi="Arial Narrow"/>
          <w:b/>
          <w:color w:val="FF0000"/>
          <w:sz w:val="20"/>
          <w:szCs w:val="20"/>
        </w:rPr>
        <w:t xml:space="preserve"> </w:t>
      </w:r>
      <w:bookmarkEnd w:id="1"/>
      <w:r w:rsidR="001A0C89" w:rsidRPr="001A0C89">
        <w:rPr>
          <w:rFonts w:ascii="Arial Narrow" w:eastAsia="Calibri" w:hAnsi="Arial Narrow" w:cs="Times New Roman"/>
          <w:b/>
          <w:sz w:val="20"/>
          <w:szCs w:val="20"/>
          <w:lang w:eastAsia="pl-PL"/>
        </w:rPr>
        <w:t>Dariusz Natkaniec -</w:t>
      </w:r>
      <w:r w:rsidR="001A0C89" w:rsidRPr="001A0C89">
        <w:rPr>
          <w:rFonts w:ascii="Arial Narrow" w:eastAsia="Calibri" w:hAnsi="Arial Narrow" w:cs="Times New Roman"/>
          <w:b/>
          <w:color w:val="FF0000"/>
          <w:sz w:val="20"/>
          <w:szCs w:val="20"/>
          <w:lang w:eastAsia="pl-PL"/>
        </w:rPr>
        <w:t xml:space="preserve"> </w:t>
      </w:r>
      <w:r w:rsidR="001A0C89" w:rsidRPr="001A0C89">
        <w:rPr>
          <w:rFonts w:ascii="Arial Narrow" w:eastAsia="Times New Roman" w:hAnsi="Arial Narrow" w:cs="Times New Roman"/>
          <w:color w:val="FF0000"/>
          <w:sz w:val="20"/>
          <w:szCs w:val="20"/>
          <w:lang w:eastAsia="pl-PL"/>
        </w:rPr>
        <w:t xml:space="preserve"> </w:t>
      </w:r>
      <w:r w:rsidR="001A0C89" w:rsidRPr="001A0C89">
        <w:rPr>
          <w:rFonts w:ascii="Arial Narrow" w:eastAsiaTheme="minorHAnsi" w:hAnsi="Arial Narrow" w:cs="Times New Roman"/>
          <w:kern w:val="0"/>
          <w:sz w:val="20"/>
          <w:szCs w:val="20"/>
          <w:lang w:eastAsia="pl-PL"/>
        </w:rPr>
        <w:t>posiada wieloletnie doświadczenie szkoleniowe, praktyk w dziedzinie legalności zatrudnienia cudzoziemców, urzędnik państwowy instytucji zajmującej się kontrolą przestrzegania przepisów prawa pracy oraz legalności zatrudnienia cudzoziemców, czynny uczestnik wielu konferencji i seminariów poświęconych tematyce legalności pobytu i zatrudnienia cudzoziemców w Polsce, zawodowo współpracuje z organami nadzoru i kontroli zajmującymi się legalizacją pobytu i zatrudnienia cudzoziemców, autor książek i kilkudziesięciu publikacji m.in. z zakresu legalności zatrudnienia cudzoziemców oraz zagadnień związanych z tematem, w szczególności obejmujących prawo pracy oraz postępowanie kontrolne inspektora pracy, a także autor sprawozdań i opracowań dotyczących problematyki zatrudniania cudzoziemców, absolwent studiów doktoranckich Wydziału Prawa i Administracji UŚ w Katowicach</w:t>
      </w:r>
      <w:r w:rsidR="001A0C89" w:rsidRPr="001A0C89">
        <w:rPr>
          <w:rFonts w:ascii="Arial Narrow" w:eastAsiaTheme="minorHAnsi" w:hAnsi="Arial Narrow" w:cs="Times New Roman"/>
          <w:kern w:val="0"/>
          <w:lang w:eastAsia="pl-PL"/>
        </w:rPr>
        <w:t>.</w:t>
      </w:r>
    </w:p>
    <w:p w14:paraId="11297DC6" w14:textId="77777777" w:rsidR="001A0C89" w:rsidRPr="001A0C89" w:rsidRDefault="001A0C89" w:rsidP="001A0C89">
      <w:pPr>
        <w:rPr>
          <w:rFonts w:ascii="Arial Narrow" w:eastAsia="Calibri" w:hAnsi="Arial Narrow" w:cs="Times New Roman"/>
          <w:b/>
          <w:lang w:eastAsia="pl-PL"/>
        </w:rPr>
      </w:pPr>
    </w:p>
    <w:p w14:paraId="488BDF39" w14:textId="6B7690E1" w:rsidR="00870A68" w:rsidRPr="00EE52DB" w:rsidRDefault="00C72093" w:rsidP="001A0C89">
      <w:pPr>
        <w:jc w:val="center"/>
        <w:rPr>
          <w:rFonts w:ascii="Arial Narrow" w:hAnsi="Arial Narrow"/>
          <w:b/>
          <w:sz w:val="25"/>
          <w:szCs w:val="25"/>
        </w:rPr>
      </w:pPr>
      <w:r w:rsidRPr="00EE52DB">
        <w:rPr>
          <w:rFonts w:ascii="Arial Narrow" w:hAnsi="Arial Narrow"/>
          <w:b/>
          <w:sz w:val="25"/>
          <w:szCs w:val="25"/>
        </w:rPr>
        <w:t>Formular</w:t>
      </w:r>
      <w:r w:rsidR="001A0C89">
        <w:rPr>
          <w:rFonts w:ascii="Arial Narrow" w:hAnsi="Arial Narrow"/>
          <w:b/>
          <w:sz w:val="25"/>
          <w:szCs w:val="25"/>
        </w:rPr>
        <w:t xml:space="preserve">z </w:t>
      </w:r>
      <w:r w:rsidR="00870A68" w:rsidRPr="00EE52DB">
        <w:rPr>
          <w:rFonts w:ascii="Arial Narrow" w:hAnsi="Arial Narrow"/>
          <w:b/>
          <w:sz w:val="25"/>
          <w:szCs w:val="25"/>
        </w:rPr>
        <w:t>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384985208" w:edGrp="everyone"/>
            <w:permEnd w:id="384985208"/>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223234669" w:edGrp="everyone"/>
            <w:permEnd w:id="223234669"/>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843786113" w:edGrp="everyone"/>
            <w:permEnd w:id="843786113"/>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919954716" w:edGrp="everyone"/>
            <w:permEnd w:id="919954716"/>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24122140" w:edGrp="everyone"/>
            <w:permEnd w:id="82412214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022827199" w:edGrp="everyone"/>
            <w:permEnd w:id="102282719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300449166" w:edGrp="everyone"/>
                            <w:permEnd w:id="3004491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300449166" w:edGrp="everyone"/>
                      <w:permEnd w:id="300449166"/>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396188904" w:edGrp="everyone"/>
            <w:permEnd w:id="1396188904"/>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773882188" w:edGrp="everyone"/>
            <w:permEnd w:id="1773882188"/>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92781975" w:edGrp="everyone"/>
            <w:permEnd w:id="119278197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7C49D195" w14:textId="77777777" w:rsidR="001A0C89" w:rsidRPr="001A0C89" w:rsidRDefault="001A0C89" w:rsidP="001A0C89">
      <w:pPr>
        <w:tabs>
          <w:tab w:val="left" w:pos="0"/>
        </w:tabs>
        <w:spacing w:after="0" w:line="240" w:lineRule="auto"/>
        <w:jc w:val="center"/>
        <w:textAlignment w:val="auto"/>
        <w:rPr>
          <w:rFonts w:ascii="Times New Roman" w:eastAsia="Calibri" w:hAnsi="Times New Roman" w:cs="Times New Roman"/>
          <w:b/>
          <w:bCs/>
          <w:color w:val="FF0000"/>
          <w:sz w:val="24"/>
          <w:szCs w:val="24"/>
          <w:shd w:val="clear" w:color="auto" w:fill="FFFFFF"/>
          <w:lang w:eastAsia="pl-PL"/>
        </w:rPr>
      </w:pPr>
      <w:r w:rsidRPr="001A0C89">
        <w:rPr>
          <w:rFonts w:ascii="Times New Roman" w:eastAsia="Calibri" w:hAnsi="Times New Roman" w:cs="Times New Roman"/>
          <w:b/>
          <w:bCs/>
          <w:color w:val="FF0000"/>
          <w:sz w:val="28"/>
          <w:szCs w:val="28"/>
          <w:lang w:eastAsia="pl-PL"/>
        </w:rPr>
        <w:t>Zatrudnianie cudzoziemców w Polsce w 2022 r. – prawo, praktyka – jak uniknąć popełniania błędów w dokumentacji.</w:t>
      </w:r>
    </w:p>
    <w:p w14:paraId="36FA339F" w14:textId="77777777" w:rsidR="001A0C89" w:rsidRPr="001A0C89" w:rsidRDefault="001A0C89" w:rsidP="001A0C89">
      <w:pPr>
        <w:spacing w:after="0" w:line="100" w:lineRule="atLeast"/>
        <w:rPr>
          <w:rFonts w:ascii="Open Sans" w:eastAsia="Calibri" w:hAnsi="Open Sans" w:cs="Open Sans"/>
          <w:b/>
          <w:bCs/>
          <w:color w:val="FF0000"/>
          <w:sz w:val="28"/>
          <w:szCs w:val="28"/>
          <w:shd w:val="clear" w:color="auto" w:fill="FFFFFF"/>
          <w:lang w:eastAsia="pl-PL"/>
        </w:rPr>
      </w:pPr>
    </w:p>
    <w:p w14:paraId="379B2338"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1. Dostęp cudzoziemców do polskiego rynku pracy</w:t>
      </w:r>
    </w:p>
    <w:p w14:paraId="55A2E79F"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cudzoziemcy uprzywilejowani oraz zwolnieni z obowiązku posiadania zezwolenia na pracę, wymagane dokumenty potwierdzające uprawnienie do podjęcia pracy bez konieczności uzyskania zezwolenia na pracę; cudzoziemcy, od których wymagane jest zezwolenie na pracę;</w:t>
      </w:r>
    </w:p>
    <w:p w14:paraId="659C952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rodzaje zezwoleń na pracę, zezwolenie na pobyt czasowy i pracę, inne decyzje pobytowe</w:t>
      </w:r>
    </w:p>
    <w:p w14:paraId="4312E39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uprawniające do pracy bez konieczności uzyskania dodatkowego zezwolenia,</w:t>
      </w:r>
    </w:p>
    <w:p w14:paraId="46B108D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podstawowe obowiązki podmiotu powierzającego wykonywanie pracy przy przyjęciu do pracy cudzoziemca; weryfikacja legalności pobytu; rodzaje tytułów pobytowych; ruch bez-</w:t>
      </w:r>
    </w:p>
    <w:p w14:paraId="10AC1D49"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wizowy; znaczenie celu pobytu w wizie krajowej; wizy Schengen; Czy wystarczy karta pobytu? Czy adnotacja w karcie pobytu: „Dostęp do rynku pracy” wystarczy do legalnego zatrudnienia cudzoziemca?</w:t>
      </w:r>
    </w:p>
    <w:p w14:paraId="35EC277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oświadczenie o powierzeniu wykonywania pracy cudzoziemcowi jako tryb uproszczony dostępu cudzoziemców do rynku pracy; treść oświadczenia; różnice między oświadczeniem a zezwoleniem;</w:t>
      </w:r>
    </w:p>
    <w:p w14:paraId="3FB24DE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rozpoczęcie pracy przez cudzoziemca; obowiązki podmiotu powierzającego wykonywanie pracy cudzoziemcowi po uzyskaniu dokumentu legalizującego pracę: zezwolenia na pracę, oświadczenia o powierzeniu wykonywania pracy.</w:t>
      </w:r>
    </w:p>
    <w:p w14:paraId="3662882E"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2. Zmiany przepisów dotyczące oświadczeń o powierzeniu wykonywania pracy i zezwoleń na pracę – nowelizacja przepisów z 17 grudnia 2021 r.</w:t>
      </w:r>
    </w:p>
    <w:p w14:paraId="7D0F259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wydłużenie możliwości pracy cudzoziemca do 24 miesięcy; likwidacja okresu rozliczeniowego przy liczeniu okresu pracy na podstawie oświadczenia; czy zmiana przepisów umożliwi cudzoziemcowi wykonywanie pracy bez przerwy na podstawie kolejnych oświadczeń?</w:t>
      </w:r>
    </w:p>
    <w:p w14:paraId="4921629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nowe warunki wymagane przy wpisie do ewidencji oświadczeń; co to znaczy „porównywalne wynagrodzenie”?</w:t>
      </w:r>
    </w:p>
    <w:p w14:paraId="20CF8A1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zmiana terminu na powiadomienie o rozpoczęciu pracy przez cudzoziemca. Co zrobić, gdy cudzoziemiec opóźnia przyjazd?</w:t>
      </w:r>
    </w:p>
    <w:p w14:paraId="54F0F19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lastRenderedPageBreak/>
        <w:t>możliwość zwiększenia wymiaru czasu pracy bez konieczności wydania nowego zezwolenia na pracę. Zwiększenie i obniżenie wymiaru czasu pracy w stosunku do warunków</w:t>
      </w:r>
    </w:p>
    <w:p w14:paraId="3A70FCE8"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oświadczenia, okoliczności dopuszczające odstępstwo, konsekwencje niezachowani warunków oświadczenia,</w:t>
      </w:r>
    </w:p>
    <w:p w14:paraId="1BA31BF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zmiana nazwy stanowiska pracy – awans stanowiskowy; jakie należy spełnić warunki, aby</w:t>
      </w:r>
    </w:p>
    <w:p w14:paraId="5B747160"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zmiana stanowiska pracy nie wymagała wydania nowego zezwolenia na pracę?</w:t>
      </w:r>
    </w:p>
    <w:p w14:paraId="1D2E54E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ustanowienie pierwszeństwa w rozpatrywaniu wniosków o wydanie zezwolenia na pracę.</w:t>
      </w:r>
    </w:p>
    <w:p w14:paraId="157B0FE3"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p>
    <w:p w14:paraId="2D1D2A45"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3. Szczególny tryb wydania zezwolenia na pobyt czasowy i pracę</w:t>
      </w:r>
    </w:p>
    <w:p w14:paraId="52EB526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udzielanie zezwoleń na pobyt czasowy i pracę w trybie szczególnym – których cudzoziemców dotyczy? Przesłanki zezwolenia pobytowego wydanego w trybie szczególnym; Czy</w:t>
      </w:r>
    </w:p>
    <w:p w14:paraId="28C4781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nowelizacja wprowadza obowiązek stosowania trybu szczególnego?</w:t>
      </w:r>
    </w:p>
    <w:p w14:paraId="143F887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wydanie zezwolenia na pobyt czasowy i pracę; okres ważności i treść decyzji – brak wskazania podmiotu oraz warunków wykonywania pracy; osobiste stawiennictwo cudzoziemca</w:t>
      </w:r>
    </w:p>
    <w:p w14:paraId="6463C22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 urzędzie wojewódzkim oraz odstępstwa od wymogu stawiennictwa,</w:t>
      </w:r>
    </w:p>
    <w:p w14:paraId="621B57F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warunki wykonywania pracy na podstawie zezwolenia na pobyt czasowy i pracę wydanej w trybie szczególnym;</w:t>
      </w:r>
    </w:p>
    <w:p w14:paraId="4E0A486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oświadczenie podmiotu powierzającego wykonywanie pracy; treść i termin na doręczenie</w:t>
      </w:r>
    </w:p>
    <w:p w14:paraId="7B87FDDD"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oświadczenia; wpis oświadczenia do rejestru; skutki niezachowania terminu 60-dniowego,</w:t>
      </w:r>
    </w:p>
    <w:p w14:paraId="2B2309D0"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wygaśnięcie zezwolenia z mocy prawa – przesłanki, skutki wygaśnięcia,</w:t>
      </w:r>
    </w:p>
    <w:p w14:paraId="7A3C3438"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legalna praca przed wydaniem zezwolenia, w okresie do dnia złożenia oświadczenia oraz</w:t>
      </w:r>
    </w:p>
    <w:p w14:paraId="72AC495E"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 złożeniu oświadczenia; utrata pracy przez cudzoziemca, zmiana zezwolenia,</w:t>
      </w:r>
    </w:p>
    <w:p w14:paraId="56879342"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 xml:space="preserve"> przyczyny cofnięcia zezwolenia na pobyty czasowy i pracę wydanego w trybie uproszczonym,</w:t>
      </w:r>
    </w:p>
    <w:p w14:paraId="2A292B69"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nowa forma kontroli sposobu korzystania z zezwolenia realizowana przez wojewodę.</w:t>
      </w:r>
    </w:p>
    <w:p w14:paraId="08732C38"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 xml:space="preserve">4. Pozostałe zmiany w zasadach zatrudniania cudzoziemców objęte nowelizacją z dnia 17 grudnia 2021 </w:t>
      </w:r>
    </w:p>
    <w:p w14:paraId="4574285A"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wnioski wizowe z pierwszeństwem przyjęcia; kryteria decydujące o przyjęciu wniosku wizowego poza kolejnością,</w:t>
      </w:r>
    </w:p>
    <w:p w14:paraId="143CCD8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zmiana warunków wydania zezwolenia na pobyt czasowy i pracę – nowy katalog przesłanek wydania decyzji,</w:t>
      </w:r>
    </w:p>
    <w:p w14:paraId="7BA57CC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okoliczności skutkujące odmową zmiany zezwolenia na pobyt czasowy i pracę,</w:t>
      </w:r>
    </w:p>
    <w:p w14:paraId="16B1864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nowelizacja pojęcia „powierzenia cudzoziemcowi nielegalnego wykonywania pracy”,</w:t>
      </w:r>
    </w:p>
    <w:p w14:paraId="33787E6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uregulowanie statusu beneficjentów umowy brexitowej,</w:t>
      </w:r>
    </w:p>
    <w:p w14:paraId="3095E28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postępowanie w sprawie wydania zezwolenia na pracę sezonową – przesłanki umorzenia</w:t>
      </w:r>
    </w:p>
    <w:p w14:paraId="012015D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postępowania z mocy prawa oraz skutki umorzenia postępowania.</w:t>
      </w:r>
    </w:p>
    <w:p w14:paraId="46F350F8" w14:textId="77777777" w:rsidR="001A0C89" w:rsidRPr="001A0C89" w:rsidRDefault="001A0C89" w:rsidP="001A0C89">
      <w:pPr>
        <w:shd w:val="clear" w:color="auto" w:fill="FFFFFF"/>
        <w:suppressAutoHyphens w:val="0"/>
        <w:spacing w:before="100" w:beforeAutospacing="1" w:after="100" w:afterAutospacing="1" w:line="240" w:lineRule="auto"/>
        <w:ind w:firstLine="360"/>
        <w:rPr>
          <w:rFonts w:asciiTheme="minorHAnsi" w:eastAsiaTheme="minorHAnsi" w:hAnsiTheme="minorHAnsi" w:cstheme="minorBidi"/>
          <w:b/>
          <w:bCs/>
          <w:kern w:val="0"/>
          <w:sz w:val="24"/>
          <w:szCs w:val="24"/>
        </w:rPr>
      </w:pPr>
      <w:r w:rsidRPr="001A0C89">
        <w:rPr>
          <w:rFonts w:asciiTheme="minorHAnsi" w:eastAsiaTheme="minorHAnsi" w:hAnsiTheme="minorHAnsi" w:cstheme="minorBidi"/>
          <w:b/>
          <w:bCs/>
          <w:kern w:val="0"/>
          <w:sz w:val="24"/>
          <w:szCs w:val="24"/>
        </w:rPr>
        <w:t>5. Przepisy regulujące szczególną sytuację cudzoziemców w Polsce w związku z działaniami wojennymi w Ukrainie od 24 lutego 2022 r.</w:t>
      </w:r>
    </w:p>
    <w:p w14:paraId="7F760ED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status pobytowy cudzoziemców przybywających do Polski w okresie od 24 lutego 2022 r.,</w:t>
      </w:r>
    </w:p>
    <w:p w14:paraId="6F241DC0"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legalizacja pobytu obywateli Ukrainy w ramach przepisów szczególnych,</w:t>
      </w:r>
    </w:p>
    <w:p w14:paraId="5796523F"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dostęp do rynku pracy cudzoziemców, legalizacja pracy oraz obowiązki podmiotu powierzającego wykonywanie pracy cudzoziemcom na podstawie przepisów szczególnych.</w:t>
      </w:r>
    </w:p>
    <w:p w14:paraId="3CDE32B3" w14:textId="77777777" w:rsidR="001A0C89" w:rsidRPr="001A0C89" w:rsidRDefault="001A0C89" w:rsidP="001A0C89">
      <w:pPr>
        <w:widowControl/>
        <w:shd w:val="clear" w:color="auto" w:fill="FFFFFF"/>
        <w:suppressAutoHyphens w:val="0"/>
        <w:spacing w:before="100" w:beforeAutospacing="1" w:after="100" w:afterAutospacing="1" w:line="240" w:lineRule="auto"/>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6. Prawidłowa realizacja obowiązków związanych z zatrudnieniem cudzoziemca</w:t>
      </w:r>
    </w:p>
    <w:p w14:paraId="334BC18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lastRenderedPageBreak/>
        <w:t>legalna praca za podstawie oświadczenia: problemy z zachowaniem warunków oświadczenia w zakresie stanowiska pracy, wymiaru czasu pracy oraz miejsca pracy; okres przejściowy po upływie okresu wskazanego w oświadczeniu,</w:t>
      </w:r>
    </w:p>
    <w:p w14:paraId="7C4B992D"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zezwolenia na pracę oraz zezwolenie na pobyt czasowy i pracę,</w:t>
      </w:r>
    </w:p>
    <w:p w14:paraId="7B40445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zwolnienia z obowiązku posiadania zezwolenia na pracę oraz dopuszczalność powierzenia wykonywania pracy bez konieczności uzyskania zezwolenia na pracę,</w:t>
      </w:r>
    </w:p>
    <w:p w14:paraId="6B8A942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zatrudnienie cudzoziemca przez agencję zatrudnienia; powierzenie wykonywania pracy</w:t>
      </w:r>
    </w:p>
    <w:p w14:paraId="3E6247DA"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na podstawie outsourcingu usług; elementy współpracy agencji z firmą korzystającą, które</w:t>
      </w:r>
    </w:p>
    <w:p w14:paraId="5B6B4C2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wpływają na legalność zatrudnienia,</w:t>
      </w:r>
    </w:p>
    <w:p w14:paraId="3E54C1AB"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obowiązki informacyjne wobec wojewody.</w:t>
      </w:r>
    </w:p>
    <w:p w14:paraId="549686A0" w14:textId="77777777" w:rsidR="001A0C89" w:rsidRPr="001A0C89" w:rsidRDefault="001A0C89" w:rsidP="001A0C89">
      <w:pPr>
        <w:widowControl/>
        <w:shd w:val="clear" w:color="auto" w:fill="FFFFFF"/>
        <w:suppressAutoHyphens w:val="0"/>
        <w:spacing w:before="100" w:beforeAutospacing="1" w:after="100" w:afterAutospacing="1" w:line="240" w:lineRule="auto"/>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7. Sytuacja pobytowa cudzoziemców oraz legalność wykonywania pracy w czasie epidemii Covid-19</w:t>
      </w:r>
    </w:p>
    <w:p w14:paraId="2DB7893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dopuszczalne zmiany warunków wykonywania pracy w czasie epidemii Covid-19,</w:t>
      </w:r>
    </w:p>
    <w:p w14:paraId="751885DB"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legalność pobytu cudzoziemców przebywających w Polsce w dniu 14 marca 2020 r. oraz</w:t>
      </w:r>
    </w:p>
    <w:p w14:paraId="48D4123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przyjeżdżających po wprowadzeniu stanu zagrożenia epidemicznego, a następnie stanu</w:t>
      </w:r>
    </w:p>
    <w:p w14:paraId="0ACB213F"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epidemii.</w:t>
      </w:r>
    </w:p>
    <w:p w14:paraId="2DC724E3" w14:textId="77777777" w:rsidR="001A0C89" w:rsidRPr="001A0C89" w:rsidRDefault="001A0C89" w:rsidP="001A0C89">
      <w:pPr>
        <w:widowControl/>
        <w:shd w:val="clear" w:color="auto" w:fill="FFFFFF"/>
        <w:suppressAutoHyphens w:val="0"/>
        <w:spacing w:before="100" w:beforeAutospacing="1" w:after="100" w:afterAutospacing="1" w:line="240" w:lineRule="auto"/>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8.  Kontrole legalności zatrudnienia prowadzone przez inspekcję pracy</w:t>
      </w:r>
    </w:p>
    <w:p w14:paraId="4BDED86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zakres kontroli, uprawnienia inspektora pracy przy rozpoczęciu kontroli; Czy przy rozpoczęciu i prowadzeniu kontroli wymagana jest obecność osoby reprezentującej zakład pracy? Co może zostać uznane za utrudnienie działalności inspektorowi pracy?</w:t>
      </w:r>
    </w:p>
    <w:p w14:paraId="3F1FD8C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dokumenty obejmowane kontrolą, uprawnienie do przesłuchania, utajnienie tożsamości świadka,</w:t>
      </w:r>
    </w:p>
    <w:p w14:paraId="43CB43F2"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najczęstsze problemy i nieprawidłowości, środki prawne korygujące,</w:t>
      </w:r>
    </w:p>
    <w:p w14:paraId="67FA80F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skutki naruszenia przepisów o zatrudnianiu cudzoziemców; sankcje administracyjne i wykroczeniowe.</w:t>
      </w:r>
    </w:p>
    <w:p w14:paraId="10326CB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przesłanki odmowy wpisu oświadczenia o powierzeniu wykonywania pracy oraz wydania zezwolenia na pracę</w:t>
      </w:r>
    </w:p>
    <w:p w14:paraId="79812195" w14:textId="77777777" w:rsidR="001A0C89" w:rsidRPr="001A0C89" w:rsidRDefault="001A0C89" w:rsidP="001A0C89">
      <w:pPr>
        <w:shd w:val="clear" w:color="auto" w:fill="FFFFFF"/>
        <w:suppressAutoHyphens w:val="0"/>
        <w:spacing w:before="100" w:beforeAutospacing="1" w:after="100" w:afterAutospacing="1" w:line="240" w:lineRule="auto"/>
        <w:rPr>
          <w:rFonts w:ascii="Arial" w:hAnsi="Arial" w:cs="Arial"/>
          <w:color w:val="FF0000"/>
          <w:kern w:val="0"/>
          <w:sz w:val="24"/>
          <w:szCs w:val="24"/>
        </w:rPr>
      </w:pPr>
    </w:p>
    <w:p w14:paraId="115DE588" w14:textId="77777777" w:rsidR="00825FE2" w:rsidRPr="00825FE2" w:rsidRDefault="00825FE2" w:rsidP="00867EC3">
      <w:pPr>
        <w:widowControl/>
        <w:suppressAutoHyphens w:val="0"/>
        <w:autoSpaceDN/>
        <w:spacing w:after="160" w:line="256" w:lineRule="auto"/>
        <w:textAlignment w:val="auto"/>
        <w:rPr>
          <w:rFonts w:ascii="Arial Narrow" w:eastAsia="Calibri" w:hAnsi="Arial Narrow" w:cs="Times New Roman"/>
          <w:kern w:val="0"/>
          <w:sz w:val="24"/>
          <w:szCs w:val="24"/>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FC7D" w14:textId="77777777" w:rsidR="00200603" w:rsidRDefault="00200603">
      <w:pPr>
        <w:spacing w:after="0" w:line="240" w:lineRule="auto"/>
      </w:pPr>
      <w:r>
        <w:separator/>
      </w:r>
    </w:p>
  </w:endnote>
  <w:endnote w:type="continuationSeparator" w:id="0">
    <w:p w14:paraId="006ED6D0" w14:textId="77777777" w:rsidR="00200603" w:rsidRDefault="0020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6D8F" w14:textId="77777777" w:rsidR="00200603" w:rsidRDefault="00200603">
      <w:pPr>
        <w:spacing w:after="0" w:line="240" w:lineRule="auto"/>
      </w:pPr>
      <w:r>
        <w:rPr>
          <w:color w:val="000000"/>
        </w:rPr>
        <w:separator/>
      </w:r>
    </w:p>
  </w:footnote>
  <w:footnote w:type="continuationSeparator" w:id="0">
    <w:p w14:paraId="3EED4336" w14:textId="77777777" w:rsidR="00200603" w:rsidRDefault="00200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562852"/>
    <w:multiLevelType w:val="hybridMultilevel"/>
    <w:tmpl w:val="4F90C638"/>
    <w:lvl w:ilvl="0" w:tplc="FF866186">
      <w:start w:val="1"/>
      <w:numFmt w:val="decimal"/>
      <w:lvlText w:val="%1."/>
      <w:lvlJc w:val="left"/>
      <w:pPr>
        <w:ind w:left="720" w:hanging="360"/>
      </w:pPr>
      <w:rPr>
        <w:rFonts w:ascii="Times New Roman" w:eastAsia="Times New Roman" w:hAnsi="Times New Roman" w:cs="Times New Roman"/>
        <w:b/>
        <w:b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40"/>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8"/>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9"/>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7"/>
  </w:num>
  <w:num w:numId="40" w16cid:durableId="1921064071">
    <w:abstractNumId w:val="16"/>
  </w:num>
  <w:num w:numId="41" w16cid:durableId="618998675">
    <w:abstractNumId w:val="26"/>
  </w:num>
  <w:num w:numId="42" w16cid:durableId="126205838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gum4BOh61P3qevG3Xoa5UWTqjjEJkErLLD3qcG44WxFhOmRpjQFUMvEu03wNi+Tatrgxei3mfQIyikiStqkK7w==" w:salt="kzDrCTibOL9msoY7M4V/G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0C8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01BE"/>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528A"/>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D6436"/>
    <w:rsid w:val="007E5194"/>
    <w:rsid w:val="007E758E"/>
    <w:rsid w:val="007F167C"/>
    <w:rsid w:val="007F2B90"/>
    <w:rsid w:val="007F581D"/>
    <w:rsid w:val="00802CA5"/>
    <w:rsid w:val="00803E6E"/>
    <w:rsid w:val="00805ACE"/>
    <w:rsid w:val="00810D1D"/>
    <w:rsid w:val="00817CC6"/>
    <w:rsid w:val="0082403D"/>
    <w:rsid w:val="00824CD8"/>
    <w:rsid w:val="00824E09"/>
    <w:rsid w:val="00825FE2"/>
    <w:rsid w:val="008419E6"/>
    <w:rsid w:val="00842BFC"/>
    <w:rsid w:val="00843378"/>
    <w:rsid w:val="00846977"/>
    <w:rsid w:val="0085100B"/>
    <w:rsid w:val="00851E7A"/>
    <w:rsid w:val="0085272A"/>
    <w:rsid w:val="00853D9D"/>
    <w:rsid w:val="0085644C"/>
    <w:rsid w:val="00861D64"/>
    <w:rsid w:val="00862B08"/>
    <w:rsid w:val="008665F5"/>
    <w:rsid w:val="00867EC3"/>
    <w:rsid w:val="00870A68"/>
    <w:rsid w:val="008734B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02D1"/>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16BB"/>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 w:type="character" w:customStyle="1" w:styleId="markedcontent">
    <w:name w:val="markedcontent"/>
    <w:basedOn w:val="Domylnaczcionkaakapitu"/>
    <w:rsid w:val="001A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1790</Words>
  <Characters>10741</Characters>
  <Application>Microsoft Office Word</Application>
  <DocSecurity>8</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113</cp:revision>
  <cp:lastPrinted>2019-04-30T11:10:00Z</cp:lastPrinted>
  <dcterms:created xsi:type="dcterms:W3CDTF">2022-08-12T10:48:00Z</dcterms:created>
  <dcterms:modified xsi:type="dcterms:W3CDTF">2022-08-22T09:13:00Z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