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007E9" w14:textId="77777777" w:rsidR="00810D1D" w:rsidRPr="00580879" w:rsidRDefault="00870A68" w:rsidP="00810D1D">
      <w:pPr>
        <w:rPr>
          <w:rFonts w:ascii="Times New Roman" w:hAnsi="Times New Roman"/>
          <w:b/>
          <w:sz w:val="16"/>
          <w:szCs w:val="16"/>
        </w:rPr>
      </w:pPr>
      <w:r w:rsidRPr="00DC097F">
        <w:rPr>
          <w:rFonts w:ascii="Times New Roman" w:hAnsi="Times New Roman"/>
          <w:b/>
          <w:sz w:val="16"/>
          <w:szCs w:val="16"/>
        </w:rPr>
        <w:t xml:space="preserve">               </w:t>
      </w:r>
      <w:r w:rsidR="00810D1D" w:rsidRPr="005D099C">
        <w:rPr>
          <w:rFonts w:ascii="Times New Roman" w:hAnsi="Times New Roman"/>
          <w:b/>
          <w:sz w:val="18"/>
          <w:szCs w:val="18"/>
        </w:rPr>
        <w:t xml:space="preserve">                  </w:t>
      </w:r>
    </w:p>
    <w:p w14:paraId="315C5960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5817287" wp14:editId="3213916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108D7F9E" w14:textId="77777777" w:rsidTr="00531CDF">
        <w:trPr>
          <w:trHeight w:val="1124"/>
        </w:trPr>
        <w:tc>
          <w:tcPr>
            <w:tcW w:w="3090" w:type="dxa"/>
          </w:tcPr>
          <w:p w14:paraId="3EDD88A6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53D01ACD" w14:textId="77777777" w:rsidR="00810D1D" w:rsidRPr="00510383" w:rsidRDefault="00810D1D" w:rsidP="00531CDF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71A103C9" w14:textId="77777777" w:rsidR="00E54A70" w:rsidRDefault="00E54A70" w:rsidP="00E54A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</w:rPr>
              <w:t xml:space="preserve">, 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535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747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5C1CBF">
              <w:rPr>
                <w:rFonts w:ascii="Times New Roman" w:hAnsi="Times New Roman"/>
                <w:sz w:val="18"/>
                <w:szCs w:val="18"/>
              </w:rPr>
              <w:t>692</w:t>
            </w:r>
          </w:p>
          <w:p w14:paraId="491B23A4" w14:textId="77777777" w:rsidR="00810D1D" w:rsidRDefault="00810D1D" w:rsidP="00531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31331A87" w14:textId="77777777" w:rsidR="00810D1D" w:rsidRDefault="00810D1D" w:rsidP="00531C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1F658A52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214AFF0B" w14:textId="77777777" w:rsidR="00B375ED" w:rsidRDefault="00B375ED" w:rsidP="00B375ED">
      <w:pPr>
        <w:pStyle w:val="Bezodstpw"/>
        <w:rPr>
          <w:b/>
          <w:color w:val="FF0000"/>
          <w:sz w:val="32"/>
          <w:szCs w:val="32"/>
        </w:rPr>
      </w:pPr>
    </w:p>
    <w:p w14:paraId="2AC0DCD0" w14:textId="77777777" w:rsidR="00B375ED" w:rsidRDefault="00B375ED" w:rsidP="00D02A54">
      <w:pPr>
        <w:spacing w:line="240" w:lineRule="auto"/>
        <w:rPr>
          <w:rFonts w:asciiTheme="minorHAnsi" w:hAnsiTheme="minorHAnsi"/>
          <w:b/>
          <w:sz w:val="28"/>
          <w:szCs w:val="28"/>
          <w:u w:val="single"/>
        </w:rPr>
      </w:pPr>
    </w:p>
    <w:p w14:paraId="43E3D9B9" w14:textId="77777777" w:rsidR="00B375ED" w:rsidRPr="00681957" w:rsidRDefault="00B375ED" w:rsidP="00B375ED">
      <w:pPr>
        <w:spacing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81957">
        <w:rPr>
          <w:rFonts w:asciiTheme="minorHAnsi" w:hAnsiTheme="minorHAnsi"/>
          <w:b/>
          <w:sz w:val="28"/>
          <w:szCs w:val="28"/>
          <w:u w:val="single"/>
        </w:rPr>
        <w:t xml:space="preserve">Propozycja programu na zorganizowanie szkolenia wewnętrznego </w:t>
      </w:r>
      <w:r>
        <w:rPr>
          <w:rFonts w:asciiTheme="minorHAnsi" w:hAnsiTheme="minorHAnsi"/>
          <w:b/>
          <w:sz w:val="28"/>
          <w:szCs w:val="28"/>
          <w:u w:val="single"/>
        </w:rPr>
        <w:br/>
      </w:r>
      <w:r w:rsidRPr="00681957">
        <w:rPr>
          <w:rFonts w:asciiTheme="minorHAnsi" w:hAnsiTheme="minorHAnsi"/>
          <w:b/>
          <w:sz w:val="28"/>
          <w:szCs w:val="28"/>
          <w:u w:val="single"/>
        </w:rPr>
        <w:t>w siedzibie pracodawcy.</w:t>
      </w:r>
    </w:p>
    <w:p w14:paraId="172476F6" w14:textId="77777777" w:rsidR="00B375ED" w:rsidRDefault="00B375ED" w:rsidP="00B375ED">
      <w:pPr>
        <w:spacing w:line="240" w:lineRule="auto"/>
        <w:ind w:firstLine="708"/>
        <w:jc w:val="both"/>
        <w:rPr>
          <w:rFonts w:asciiTheme="minorHAnsi" w:hAnsiTheme="minorHAnsi"/>
          <w:b/>
        </w:rPr>
      </w:pPr>
      <w:r w:rsidRPr="00681957">
        <w:rPr>
          <w:rFonts w:asciiTheme="minorHAnsi" w:hAnsiTheme="minorHAnsi"/>
          <w:b/>
        </w:rPr>
        <w:t xml:space="preserve">Program jest przykładowy, każdorazowo jest dostosowywany </w:t>
      </w:r>
      <w:r>
        <w:rPr>
          <w:rFonts w:asciiTheme="minorHAnsi" w:hAnsiTheme="minorHAnsi"/>
          <w:b/>
        </w:rPr>
        <w:t xml:space="preserve">przez wykładowcę </w:t>
      </w:r>
      <w:r w:rsidRPr="00681957">
        <w:rPr>
          <w:rFonts w:asciiTheme="minorHAnsi" w:hAnsiTheme="minorHAnsi"/>
          <w:b/>
        </w:rPr>
        <w:t>do bieżących potrzeb pracodawcy</w:t>
      </w:r>
      <w:r>
        <w:rPr>
          <w:rFonts w:asciiTheme="minorHAnsi" w:hAnsiTheme="minorHAnsi"/>
          <w:b/>
        </w:rPr>
        <w:t xml:space="preserve">. </w:t>
      </w:r>
      <w:r w:rsidRPr="00681957">
        <w:rPr>
          <w:rFonts w:asciiTheme="minorHAnsi" w:hAnsiTheme="minorHAnsi"/>
          <w:b/>
        </w:rPr>
        <w:t>Zagadnienia z różnych programów można połączyć w zależności od aktualnych potrzeb. Szkolenie prowadzone jest w formie wykładu i praktycznych ćwiczeń w zależności od tematu</w:t>
      </w:r>
      <w:r>
        <w:rPr>
          <w:rFonts w:asciiTheme="minorHAnsi" w:hAnsiTheme="minorHAnsi"/>
          <w:b/>
        </w:rPr>
        <w:t>, s</w:t>
      </w:r>
      <w:r w:rsidRPr="00681957">
        <w:rPr>
          <w:rFonts w:asciiTheme="minorHAnsi" w:hAnsiTheme="minorHAnsi"/>
          <w:b/>
        </w:rPr>
        <w:t xml:space="preserve">zkolenie może być   połączone także z audytem dokumentacji pracowniczej. </w:t>
      </w:r>
    </w:p>
    <w:p w14:paraId="6EEC318A" w14:textId="104D2ED8" w:rsidR="00AE0B21" w:rsidRPr="00EF5335" w:rsidRDefault="00B375ED" w:rsidP="00EF5335">
      <w:pPr>
        <w:spacing w:line="240" w:lineRule="auto"/>
        <w:ind w:firstLine="708"/>
        <w:jc w:val="both"/>
        <w:rPr>
          <w:rFonts w:asciiTheme="minorHAnsi" w:hAnsiTheme="minorHAnsi"/>
          <w:b/>
          <w:u w:val="single"/>
        </w:rPr>
      </w:pPr>
      <w:r w:rsidRPr="00E33703">
        <w:rPr>
          <w:rFonts w:asciiTheme="minorHAnsi" w:hAnsiTheme="minorHAnsi"/>
          <w:b/>
          <w:i/>
          <w:u w:val="single"/>
        </w:rPr>
        <w:t xml:space="preserve">Zachęcamy do współpracy. </w:t>
      </w:r>
      <w:r w:rsidRPr="00E33703">
        <w:rPr>
          <w:rFonts w:asciiTheme="minorHAnsi" w:hAnsiTheme="minorHAnsi"/>
          <w:b/>
          <w:u w:val="single"/>
        </w:rPr>
        <w:t xml:space="preserve">Wszelkie pytania prosimy kierować na adres </w:t>
      </w:r>
      <w:hyperlink r:id="rId8" w:history="1">
        <w:r w:rsidRPr="00E33703">
          <w:rPr>
            <w:rStyle w:val="Hipercze"/>
            <w:rFonts w:asciiTheme="minorHAnsi" w:hAnsiTheme="minorHAnsi"/>
            <w:b/>
          </w:rPr>
          <w:t>biuro@szkolenia-css.pl</w:t>
        </w:r>
      </w:hyperlink>
      <w:r w:rsidRPr="00E33703">
        <w:rPr>
          <w:rFonts w:asciiTheme="minorHAnsi" w:hAnsiTheme="minorHAnsi"/>
          <w:b/>
          <w:u w:val="single"/>
        </w:rPr>
        <w:t xml:space="preserve">  lub tel. </w:t>
      </w:r>
      <w:r w:rsidRPr="00E33703">
        <w:rPr>
          <w:rFonts w:ascii="Times New Roman" w:hAnsi="Times New Roman"/>
          <w:b/>
          <w:color w:val="0070C0"/>
          <w:u w:val="single"/>
          <w:lang w:eastAsia="pl-PL"/>
        </w:rPr>
        <w:t>721 649 991, 535 747 692</w:t>
      </w:r>
      <w:r w:rsidRPr="00E33703">
        <w:rPr>
          <w:rFonts w:ascii="Times New Roman" w:hAnsi="Times New Roman"/>
          <w:color w:val="0070C0"/>
          <w:sz w:val="18"/>
          <w:szCs w:val="18"/>
          <w:u w:val="single"/>
          <w:lang w:eastAsia="pl-PL"/>
        </w:rPr>
        <w:t xml:space="preserve">                       </w:t>
      </w:r>
      <w:r w:rsidRPr="00E33703">
        <w:rPr>
          <w:rFonts w:ascii="Times New Roman" w:hAnsi="Times New Roman"/>
          <w:b/>
          <w:color w:val="0070C0"/>
          <w:sz w:val="18"/>
          <w:szCs w:val="18"/>
          <w:u w:val="single"/>
          <w:lang w:eastAsia="pl-PL"/>
        </w:rPr>
        <w:t xml:space="preserve">              </w:t>
      </w:r>
    </w:p>
    <w:p w14:paraId="1A623B8B" w14:textId="0ADFC8FD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  <w:jc w:val="center"/>
        <w:rPr>
          <w:color w:val="0070C0"/>
          <w:sz w:val="28"/>
          <w:szCs w:val="28"/>
        </w:rPr>
      </w:pPr>
      <w:r w:rsidRPr="00EF5335">
        <w:rPr>
          <w:rFonts w:ascii="Helvetica" w:hAnsi="Helvetica" w:cs="Helvetica"/>
          <w:b/>
          <w:bCs/>
          <w:color w:val="0070C0"/>
          <w:sz w:val="28"/>
          <w:szCs w:val="28"/>
        </w:rPr>
        <w:t>Inwentaryzacja majątku jednostki</w:t>
      </w:r>
    </w:p>
    <w:p w14:paraId="0808EABE" w14:textId="6AA05A46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1.Podstawy prawne inwentaryzacji majątku jednostki</w:t>
      </w:r>
      <w:r w:rsidR="0005656B">
        <w:rPr>
          <w:rFonts w:ascii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</w:rPr>
        <w:t>2.Cele i przedmiot inwentaryzacji</w:t>
      </w:r>
      <w:r w:rsidR="0005656B">
        <w:rPr>
          <w:rFonts w:ascii="Helvetica" w:hAnsi="Helvetica" w:cs="Helvetica"/>
          <w:b/>
          <w:bCs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</w:rPr>
        <w:t>3.Metody i terminy inwentaryzacji</w:t>
      </w:r>
    </w:p>
    <w:p w14:paraId="18D4D325" w14:textId="1A08619B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-spis z natury</w:t>
      </w:r>
      <w:r w:rsidR="0005656B">
        <w:br/>
      </w:r>
      <w:r>
        <w:rPr>
          <w:rFonts w:ascii="Helvetica" w:hAnsi="Helvetica" w:cs="Helvetica"/>
          <w:sz w:val="20"/>
          <w:szCs w:val="20"/>
        </w:rPr>
        <w:t>-uzgadnianie sald</w:t>
      </w:r>
      <w:r w:rsidR="0005656B">
        <w:br/>
      </w:r>
      <w:r>
        <w:rPr>
          <w:rFonts w:ascii="Helvetica" w:hAnsi="Helvetica" w:cs="Helvetica"/>
          <w:sz w:val="20"/>
          <w:szCs w:val="20"/>
        </w:rPr>
        <w:t>-weryfikacja stanu ewidencyjnego</w:t>
      </w:r>
    </w:p>
    <w:p w14:paraId="37B4F2CE" w14:textId="77777777" w:rsidR="00EF5335" w:rsidRDefault="00EF5335" w:rsidP="00EF5335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4.Podział obowiązków oraz kompetencje w zakresie inwentaryzacji</w:t>
      </w:r>
    </w:p>
    <w:p w14:paraId="12764406" w14:textId="2173D23B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-czynniki wpływające na organizację inwentaryzacji</w:t>
      </w:r>
      <w:r w:rsidR="0005656B">
        <w:br/>
      </w:r>
      <w:r>
        <w:rPr>
          <w:rFonts w:ascii="Helvetica" w:hAnsi="Helvetica" w:cs="Helvetica"/>
          <w:sz w:val="20"/>
          <w:szCs w:val="20"/>
        </w:rPr>
        <w:t>-instrukcja inwentaryzacyjna</w:t>
      </w:r>
      <w:r w:rsidR="0005656B">
        <w:br/>
      </w:r>
      <w:r>
        <w:rPr>
          <w:rFonts w:ascii="Helvetica" w:hAnsi="Helvetica" w:cs="Helvetica"/>
          <w:sz w:val="20"/>
          <w:szCs w:val="20"/>
        </w:rPr>
        <w:t>-udokumentowanie przeprowadzenia i rozliczenia wyników inwentaryzacyjnych</w:t>
      </w:r>
    </w:p>
    <w:p w14:paraId="5E1C578B" w14:textId="77777777" w:rsidR="00EF5335" w:rsidRDefault="00EF5335" w:rsidP="00EF5335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5.Odpowiedzialność materialna pracowników</w:t>
      </w:r>
    </w:p>
    <w:p w14:paraId="0C9D67F4" w14:textId="7AE653D0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-prawidłowe powierzenie mienia</w:t>
      </w:r>
      <w:r w:rsidR="0005656B">
        <w:br/>
      </w:r>
      <w:r>
        <w:rPr>
          <w:rFonts w:ascii="Helvetica" w:hAnsi="Helvetica" w:cs="Helvetica"/>
          <w:sz w:val="20"/>
          <w:szCs w:val="20"/>
        </w:rPr>
        <w:t>-odpowiedzialność jednostkowa i wspólna</w:t>
      </w:r>
      <w:r w:rsidR="0005656B">
        <w:br/>
      </w:r>
      <w:r>
        <w:rPr>
          <w:rFonts w:ascii="Helvetica" w:hAnsi="Helvetica" w:cs="Helvetica"/>
          <w:sz w:val="20"/>
          <w:szCs w:val="20"/>
        </w:rPr>
        <w:t>-wina umyślna i nieumyślna</w:t>
      </w:r>
    </w:p>
    <w:p w14:paraId="0DA9A05C" w14:textId="77777777" w:rsidR="00EF5335" w:rsidRDefault="00EF5335" w:rsidP="00EF5335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6.Różnice inwentaryzacyjne</w:t>
      </w:r>
    </w:p>
    <w:p w14:paraId="364B9C80" w14:textId="2B73B32B" w:rsidR="00EF5335" w:rsidRDefault="00EF5335" w:rsidP="0005656B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-nadwyżki</w:t>
      </w:r>
      <w:r w:rsidR="0005656B">
        <w:br/>
      </w:r>
      <w:r>
        <w:rPr>
          <w:rFonts w:ascii="Helvetica" w:hAnsi="Helvetica" w:cs="Helvetica"/>
          <w:sz w:val="20"/>
          <w:szCs w:val="20"/>
        </w:rPr>
        <w:t>-niedobory zawinione i niezawinione</w:t>
      </w:r>
      <w:r w:rsidR="0005656B">
        <w:br/>
      </w:r>
      <w:r>
        <w:rPr>
          <w:rFonts w:ascii="Helvetica" w:hAnsi="Helvetica" w:cs="Helvetica"/>
          <w:sz w:val="20"/>
          <w:szCs w:val="20"/>
        </w:rPr>
        <w:t>-kompensata różnic inwentaryzacyjnych</w:t>
      </w:r>
    </w:p>
    <w:p w14:paraId="0DBF9F36" w14:textId="77777777" w:rsidR="00EF5335" w:rsidRDefault="00EF5335" w:rsidP="00EF5335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b/>
          <w:bCs/>
          <w:sz w:val="20"/>
          <w:szCs w:val="20"/>
        </w:rPr>
        <w:t>7.Jak wprowadzić do ksiąg korekty z tytułu zweryfikowanych różnic inwentaryzacyjnych</w:t>
      </w:r>
    </w:p>
    <w:p w14:paraId="7574601E" w14:textId="6241A18F" w:rsidR="00EF5335" w:rsidRPr="0005656B" w:rsidRDefault="00EF5335" w:rsidP="0005656B">
      <w:pPr>
        <w:pStyle w:val="Standard"/>
        <w:shd w:val="clear" w:color="auto" w:fill="FFFFFF"/>
        <w:spacing w:line="293" w:lineRule="atLeast"/>
        <w:ind w:left="345"/>
      </w:pPr>
      <w:r>
        <w:rPr>
          <w:rFonts w:ascii="Helvetica" w:hAnsi="Helvetica" w:cs="Helvetica"/>
          <w:sz w:val="20"/>
          <w:szCs w:val="20"/>
        </w:rPr>
        <w:t>-wycena różnic</w:t>
      </w:r>
      <w:r w:rsidR="0005656B">
        <w:br/>
      </w:r>
      <w:r>
        <w:rPr>
          <w:rFonts w:ascii="Helvetica" w:hAnsi="Helvetica" w:cs="Helvetica"/>
          <w:sz w:val="20"/>
          <w:szCs w:val="20"/>
        </w:rPr>
        <w:t>-księgowanie</w:t>
      </w:r>
    </w:p>
    <w:p w14:paraId="0EFEB0CC" w14:textId="68184B48" w:rsidR="00C606B4" w:rsidRDefault="00EF5335" w:rsidP="0005656B">
      <w:pPr>
        <w:pStyle w:val="Standard"/>
        <w:shd w:val="clear" w:color="auto" w:fill="FFFFFF"/>
        <w:spacing w:line="293" w:lineRule="atLeast"/>
      </w:pPr>
      <w:r>
        <w:rPr>
          <w:rFonts w:ascii="Helvetica" w:hAnsi="Helvetica" w:cs="Helvetica"/>
          <w:b/>
          <w:bCs/>
          <w:sz w:val="20"/>
          <w:szCs w:val="20"/>
        </w:rPr>
        <w:t xml:space="preserve">      8.   Dokumentacja inwentaryzacji</w:t>
      </w:r>
      <w:r w:rsidR="0005656B">
        <w:br/>
        <w:t xml:space="preserve">      </w:t>
      </w:r>
      <w:r>
        <w:rPr>
          <w:rFonts w:ascii="Helvetica" w:hAnsi="Helvetica" w:cs="Helvetica"/>
          <w:b/>
          <w:bCs/>
          <w:sz w:val="20"/>
          <w:szCs w:val="20"/>
        </w:rPr>
        <w:t>9.  Rozliczanie różnic inwentaryzacyjnych w świetle przepisów podatkowych</w:t>
      </w:r>
      <w:r w:rsidR="0005656B">
        <w:br/>
        <w:t xml:space="preserve">    </w:t>
      </w: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</w:rPr>
        <w:t>10. Różnice inwentaryzacyjne a podatek VA</w:t>
      </w:r>
      <w:r>
        <w:rPr>
          <w:rFonts w:ascii="Helvetica" w:hAnsi="Helvetica" w:cs="Helvetica"/>
          <w:b/>
          <w:bCs/>
          <w:sz w:val="20"/>
          <w:szCs w:val="20"/>
        </w:rPr>
        <w:t>T</w:t>
      </w: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810D1D" w14:paraId="6E42C414" w14:textId="77777777" w:rsidTr="00531CDF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2BB1" w14:textId="77777777" w:rsidR="00810D1D" w:rsidRDefault="00810D1D" w:rsidP="00531CDF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2861E3D" w14:textId="77777777" w:rsidR="00810D1D" w:rsidRDefault="001B02E6" w:rsidP="00531CDF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="00810D1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 w:rsidR="00810D1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12691CC5" w14:textId="77777777" w:rsidR="00B94714" w:rsidRDefault="00810D1D" w:rsidP="00A44235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B94714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CF220" w14:textId="77777777" w:rsidR="001B1ADC" w:rsidRDefault="001B1ADC">
      <w:pPr>
        <w:spacing w:after="0" w:line="240" w:lineRule="auto"/>
      </w:pPr>
      <w:r>
        <w:separator/>
      </w:r>
    </w:p>
  </w:endnote>
  <w:endnote w:type="continuationSeparator" w:id="0">
    <w:p w14:paraId="08D12BF5" w14:textId="77777777" w:rsidR="001B1ADC" w:rsidRDefault="001B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75D5" w14:textId="77777777" w:rsidR="001B1ADC" w:rsidRDefault="001B1A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96A818" w14:textId="77777777" w:rsidR="001B1ADC" w:rsidRDefault="001B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3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D21B2D"/>
    <w:multiLevelType w:val="hybridMultilevel"/>
    <w:tmpl w:val="91C6CE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578"/>
    <w:multiLevelType w:val="hybridMultilevel"/>
    <w:tmpl w:val="0EE82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2E82"/>
    <w:multiLevelType w:val="hybridMultilevel"/>
    <w:tmpl w:val="D8F6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76A7"/>
    <w:multiLevelType w:val="hybridMultilevel"/>
    <w:tmpl w:val="B1467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5D82006"/>
    <w:multiLevelType w:val="hybridMultilevel"/>
    <w:tmpl w:val="AA26E4A8"/>
    <w:lvl w:ilvl="0" w:tplc="B726DF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1C8C"/>
    <w:multiLevelType w:val="multilevel"/>
    <w:tmpl w:val="D4764EF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7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C9E6620"/>
    <w:multiLevelType w:val="hybridMultilevel"/>
    <w:tmpl w:val="96B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24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69536C78"/>
    <w:multiLevelType w:val="hybridMultilevel"/>
    <w:tmpl w:val="02B89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F02B4"/>
    <w:multiLevelType w:val="hybridMultilevel"/>
    <w:tmpl w:val="B6B4B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FB75C1F"/>
    <w:multiLevelType w:val="hybridMultilevel"/>
    <w:tmpl w:val="C270E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24"/>
  </w:num>
  <w:num w:numId="7">
    <w:abstractNumId w:val="22"/>
  </w:num>
  <w:num w:numId="8">
    <w:abstractNumId w:val="29"/>
  </w:num>
  <w:num w:numId="9">
    <w:abstractNumId w:val="23"/>
  </w:num>
  <w:num w:numId="10">
    <w:abstractNumId w:val="5"/>
  </w:num>
  <w:num w:numId="11">
    <w:abstractNumId w:val="0"/>
  </w:num>
  <w:num w:numId="12">
    <w:abstractNumId w:val="3"/>
  </w:num>
  <w:num w:numId="13">
    <w:abstractNumId w:val="27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8"/>
  </w:num>
  <w:num w:numId="19">
    <w:abstractNumId w:val="28"/>
  </w:num>
  <w:num w:numId="20">
    <w:abstractNumId w:val="16"/>
  </w:num>
  <w:num w:numId="21">
    <w:abstractNumId w:val="14"/>
  </w:num>
  <w:num w:numId="22">
    <w:abstractNumId w:val="6"/>
  </w:num>
  <w:num w:numId="23">
    <w:abstractNumId w:val="7"/>
  </w:num>
  <w:num w:numId="24">
    <w:abstractNumId w:val="30"/>
  </w:num>
  <w:num w:numId="25">
    <w:abstractNumId w:val="26"/>
  </w:num>
  <w:num w:numId="26">
    <w:abstractNumId w:val="4"/>
  </w:num>
  <w:num w:numId="27">
    <w:abstractNumId w:val="9"/>
  </w:num>
  <w:num w:numId="28">
    <w:abstractNumId w:val="8"/>
  </w:num>
  <w:num w:numId="29">
    <w:abstractNumId w:val="21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1B16"/>
    <w:rsid w:val="000274FB"/>
    <w:rsid w:val="000334D2"/>
    <w:rsid w:val="000344A8"/>
    <w:rsid w:val="0004795D"/>
    <w:rsid w:val="000546B5"/>
    <w:rsid w:val="00054BEC"/>
    <w:rsid w:val="00055166"/>
    <w:rsid w:val="0005656B"/>
    <w:rsid w:val="00061CAC"/>
    <w:rsid w:val="00067172"/>
    <w:rsid w:val="000A0CD5"/>
    <w:rsid w:val="000B1472"/>
    <w:rsid w:val="000B2AEC"/>
    <w:rsid w:val="000E7CDB"/>
    <w:rsid w:val="00101B66"/>
    <w:rsid w:val="00101BAF"/>
    <w:rsid w:val="00102564"/>
    <w:rsid w:val="00111385"/>
    <w:rsid w:val="001213EA"/>
    <w:rsid w:val="00131B39"/>
    <w:rsid w:val="0013631B"/>
    <w:rsid w:val="00145386"/>
    <w:rsid w:val="00145DC4"/>
    <w:rsid w:val="0015436E"/>
    <w:rsid w:val="00154667"/>
    <w:rsid w:val="0015789E"/>
    <w:rsid w:val="00160858"/>
    <w:rsid w:val="00161532"/>
    <w:rsid w:val="001808C4"/>
    <w:rsid w:val="001817B0"/>
    <w:rsid w:val="001830B6"/>
    <w:rsid w:val="0019350D"/>
    <w:rsid w:val="001A0E52"/>
    <w:rsid w:val="001A6FDB"/>
    <w:rsid w:val="001B02E6"/>
    <w:rsid w:val="001B0E6D"/>
    <w:rsid w:val="001B1ADC"/>
    <w:rsid w:val="001B1CFD"/>
    <w:rsid w:val="001D78F2"/>
    <w:rsid w:val="001F6B52"/>
    <w:rsid w:val="00201190"/>
    <w:rsid w:val="00203167"/>
    <w:rsid w:val="00206FFF"/>
    <w:rsid w:val="00211378"/>
    <w:rsid w:val="0021245F"/>
    <w:rsid w:val="002260D6"/>
    <w:rsid w:val="00232035"/>
    <w:rsid w:val="0023308F"/>
    <w:rsid w:val="002369BE"/>
    <w:rsid w:val="00252820"/>
    <w:rsid w:val="002550A2"/>
    <w:rsid w:val="002620F4"/>
    <w:rsid w:val="00267941"/>
    <w:rsid w:val="00272683"/>
    <w:rsid w:val="002B3C27"/>
    <w:rsid w:val="002B4780"/>
    <w:rsid w:val="002B49DE"/>
    <w:rsid w:val="002B580B"/>
    <w:rsid w:val="002C4B80"/>
    <w:rsid w:val="002E36F8"/>
    <w:rsid w:val="002F112C"/>
    <w:rsid w:val="00307F3C"/>
    <w:rsid w:val="0031286B"/>
    <w:rsid w:val="003146DA"/>
    <w:rsid w:val="003343EE"/>
    <w:rsid w:val="00362A9F"/>
    <w:rsid w:val="00372125"/>
    <w:rsid w:val="00383172"/>
    <w:rsid w:val="00385AD6"/>
    <w:rsid w:val="00387B48"/>
    <w:rsid w:val="00392761"/>
    <w:rsid w:val="003A1C3A"/>
    <w:rsid w:val="003A2890"/>
    <w:rsid w:val="003A2CC3"/>
    <w:rsid w:val="003A3740"/>
    <w:rsid w:val="003A54C9"/>
    <w:rsid w:val="003A553E"/>
    <w:rsid w:val="003D28CB"/>
    <w:rsid w:val="003D547D"/>
    <w:rsid w:val="003D7D00"/>
    <w:rsid w:val="003E216E"/>
    <w:rsid w:val="003E23AD"/>
    <w:rsid w:val="00417BBB"/>
    <w:rsid w:val="00425759"/>
    <w:rsid w:val="00430D4C"/>
    <w:rsid w:val="00431CC6"/>
    <w:rsid w:val="004403B3"/>
    <w:rsid w:val="00446635"/>
    <w:rsid w:val="004478F2"/>
    <w:rsid w:val="00454ABC"/>
    <w:rsid w:val="0046051C"/>
    <w:rsid w:val="004628E5"/>
    <w:rsid w:val="0048310A"/>
    <w:rsid w:val="0049572C"/>
    <w:rsid w:val="004960EC"/>
    <w:rsid w:val="004B40A7"/>
    <w:rsid w:val="004B639A"/>
    <w:rsid w:val="004B7A07"/>
    <w:rsid w:val="004C5428"/>
    <w:rsid w:val="004F51B8"/>
    <w:rsid w:val="00500F76"/>
    <w:rsid w:val="00517260"/>
    <w:rsid w:val="005235F2"/>
    <w:rsid w:val="00523A37"/>
    <w:rsid w:val="00531CDF"/>
    <w:rsid w:val="00537C3F"/>
    <w:rsid w:val="005572D2"/>
    <w:rsid w:val="00580879"/>
    <w:rsid w:val="00584382"/>
    <w:rsid w:val="00584E3C"/>
    <w:rsid w:val="00597CB4"/>
    <w:rsid w:val="005C409B"/>
    <w:rsid w:val="00600681"/>
    <w:rsid w:val="006213DF"/>
    <w:rsid w:val="00624CF1"/>
    <w:rsid w:val="00640B30"/>
    <w:rsid w:val="00665B82"/>
    <w:rsid w:val="006777C5"/>
    <w:rsid w:val="00682402"/>
    <w:rsid w:val="006A143D"/>
    <w:rsid w:val="006A675B"/>
    <w:rsid w:val="006B650F"/>
    <w:rsid w:val="006D059B"/>
    <w:rsid w:val="006D277F"/>
    <w:rsid w:val="006E1F62"/>
    <w:rsid w:val="006E469A"/>
    <w:rsid w:val="006F250E"/>
    <w:rsid w:val="006F272E"/>
    <w:rsid w:val="006F546D"/>
    <w:rsid w:val="00707D0F"/>
    <w:rsid w:val="00716BB8"/>
    <w:rsid w:val="007172FB"/>
    <w:rsid w:val="007247C3"/>
    <w:rsid w:val="007260E7"/>
    <w:rsid w:val="00742012"/>
    <w:rsid w:val="007563C8"/>
    <w:rsid w:val="00761DBF"/>
    <w:rsid w:val="007703A0"/>
    <w:rsid w:val="007722DE"/>
    <w:rsid w:val="007A3FBA"/>
    <w:rsid w:val="007B1481"/>
    <w:rsid w:val="007B7C92"/>
    <w:rsid w:val="007C7AE9"/>
    <w:rsid w:val="007D0882"/>
    <w:rsid w:val="007D50EE"/>
    <w:rsid w:val="007D67FF"/>
    <w:rsid w:val="007F167C"/>
    <w:rsid w:val="007F2B90"/>
    <w:rsid w:val="0080547F"/>
    <w:rsid w:val="00810D1D"/>
    <w:rsid w:val="00832614"/>
    <w:rsid w:val="0084433B"/>
    <w:rsid w:val="00844D47"/>
    <w:rsid w:val="0085371F"/>
    <w:rsid w:val="0085644C"/>
    <w:rsid w:val="00857281"/>
    <w:rsid w:val="00864FAB"/>
    <w:rsid w:val="00870A68"/>
    <w:rsid w:val="00891313"/>
    <w:rsid w:val="008924A3"/>
    <w:rsid w:val="008A1AFB"/>
    <w:rsid w:val="008B1751"/>
    <w:rsid w:val="008B3300"/>
    <w:rsid w:val="008E1D63"/>
    <w:rsid w:val="008F7FB0"/>
    <w:rsid w:val="00932CA3"/>
    <w:rsid w:val="0094486B"/>
    <w:rsid w:val="00950C85"/>
    <w:rsid w:val="00990303"/>
    <w:rsid w:val="009A4566"/>
    <w:rsid w:val="009A5E5E"/>
    <w:rsid w:val="009A7323"/>
    <w:rsid w:val="009B3A82"/>
    <w:rsid w:val="009B6E59"/>
    <w:rsid w:val="009E095E"/>
    <w:rsid w:val="00A038D0"/>
    <w:rsid w:val="00A40400"/>
    <w:rsid w:val="00A44235"/>
    <w:rsid w:val="00A51F26"/>
    <w:rsid w:val="00A636FF"/>
    <w:rsid w:val="00A65195"/>
    <w:rsid w:val="00A66A54"/>
    <w:rsid w:val="00A67E13"/>
    <w:rsid w:val="00A72D2F"/>
    <w:rsid w:val="00A80665"/>
    <w:rsid w:val="00A81960"/>
    <w:rsid w:val="00A92564"/>
    <w:rsid w:val="00A93DB2"/>
    <w:rsid w:val="00A94D6B"/>
    <w:rsid w:val="00AB5F39"/>
    <w:rsid w:val="00AE0B21"/>
    <w:rsid w:val="00AE7C55"/>
    <w:rsid w:val="00AF2F70"/>
    <w:rsid w:val="00B029ED"/>
    <w:rsid w:val="00B04503"/>
    <w:rsid w:val="00B07C2C"/>
    <w:rsid w:val="00B11744"/>
    <w:rsid w:val="00B14A5A"/>
    <w:rsid w:val="00B25A65"/>
    <w:rsid w:val="00B33EAC"/>
    <w:rsid w:val="00B375ED"/>
    <w:rsid w:val="00B51F68"/>
    <w:rsid w:val="00B57C38"/>
    <w:rsid w:val="00B635D9"/>
    <w:rsid w:val="00B90642"/>
    <w:rsid w:val="00B94714"/>
    <w:rsid w:val="00B9795D"/>
    <w:rsid w:val="00BB5369"/>
    <w:rsid w:val="00BD2F49"/>
    <w:rsid w:val="00BD4037"/>
    <w:rsid w:val="00BD58AB"/>
    <w:rsid w:val="00BE207D"/>
    <w:rsid w:val="00BF4E15"/>
    <w:rsid w:val="00C03D6A"/>
    <w:rsid w:val="00C07FB1"/>
    <w:rsid w:val="00C154A7"/>
    <w:rsid w:val="00C21691"/>
    <w:rsid w:val="00C26571"/>
    <w:rsid w:val="00C326DD"/>
    <w:rsid w:val="00C4233D"/>
    <w:rsid w:val="00C46A3F"/>
    <w:rsid w:val="00C50289"/>
    <w:rsid w:val="00C53B12"/>
    <w:rsid w:val="00C606B4"/>
    <w:rsid w:val="00C72093"/>
    <w:rsid w:val="00C7492B"/>
    <w:rsid w:val="00C86400"/>
    <w:rsid w:val="00CA5663"/>
    <w:rsid w:val="00CB1A43"/>
    <w:rsid w:val="00CB6AC9"/>
    <w:rsid w:val="00CB6CB0"/>
    <w:rsid w:val="00CB7C15"/>
    <w:rsid w:val="00CD2FEA"/>
    <w:rsid w:val="00CE6034"/>
    <w:rsid w:val="00CF43E4"/>
    <w:rsid w:val="00CF711B"/>
    <w:rsid w:val="00D00F62"/>
    <w:rsid w:val="00D01A96"/>
    <w:rsid w:val="00D02A54"/>
    <w:rsid w:val="00D040C1"/>
    <w:rsid w:val="00D0464F"/>
    <w:rsid w:val="00D33961"/>
    <w:rsid w:val="00D515C7"/>
    <w:rsid w:val="00D6064B"/>
    <w:rsid w:val="00D64C53"/>
    <w:rsid w:val="00D73A73"/>
    <w:rsid w:val="00D83B4B"/>
    <w:rsid w:val="00D87CBC"/>
    <w:rsid w:val="00DA7C15"/>
    <w:rsid w:val="00DA7EF8"/>
    <w:rsid w:val="00DB16C1"/>
    <w:rsid w:val="00DB57DF"/>
    <w:rsid w:val="00DC097F"/>
    <w:rsid w:val="00DE41E1"/>
    <w:rsid w:val="00E0507C"/>
    <w:rsid w:val="00E213AC"/>
    <w:rsid w:val="00E23286"/>
    <w:rsid w:val="00E26CC3"/>
    <w:rsid w:val="00E511FC"/>
    <w:rsid w:val="00E54A70"/>
    <w:rsid w:val="00E60929"/>
    <w:rsid w:val="00E67296"/>
    <w:rsid w:val="00E97F97"/>
    <w:rsid w:val="00EA6C12"/>
    <w:rsid w:val="00EB3139"/>
    <w:rsid w:val="00ED3090"/>
    <w:rsid w:val="00EE165E"/>
    <w:rsid w:val="00EE2D3F"/>
    <w:rsid w:val="00EE4298"/>
    <w:rsid w:val="00EF48E0"/>
    <w:rsid w:val="00EF5335"/>
    <w:rsid w:val="00EF794D"/>
    <w:rsid w:val="00F030C3"/>
    <w:rsid w:val="00F16DE1"/>
    <w:rsid w:val="00F40BC1"/>
    <w:rsid w:val="00F42B36"/>
    <w:rsid w:val="00F534CF"/>
    <w:rsid w:val="00F808DB"/>
    <w:rsid w:val="00F84946"/>
    <w:rsid w:val="00F863A4"/>
    <w:rsid w:val="00F9734C"/>
    <w:rsid w:val="00FA42D4"/>
    <w:rsid w:val="00FA79D3"/>
    <w:rsid w:val="00F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0561"/>
  <w15:docId w15:val="{0BFED78E-B0AE-4AEF-9953-027ED7F8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zkolenia-cs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 </cp:lastModifiedBy>
  <cp:revision>108</cp:revision>
  <cp:lastPrinted>2018-07-25T09:31:00Z</cp:lastPrinted>
  <dcterms:created xsi:type="dcterms:W3CDTF">2018-12-09T22:31:00Z</dcterms:created>
  <dcterms:modified xsi:type="dcterms:W3CDTF">2020-01-03T12:20:00Z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