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7209B8" w:rsidRDefault="00D1616E" w:rsidP="00B222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3B3FA0" w:rsidRDefault="003B3FA0" w:rsidP="003B3FA0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E8648C" w:rsidTr="000D1102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48C" w:rsidRDefault="009B2550" w:rsidP="000D1102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Kraków</w:t>
            </w:r>
            <w:r w:rsidR="00E8648C">
              <w:rPr>
                <w:b/>
                <w:sz w:val="28"/>
                <w:szCs w:val="28"/>
                <w:lang w:eastAsia="pl-PL"/>
              </w:rPr>
              <w:t xml:space="preserve">    -   </w:t>
            </w:r>
            <w:r w:rsidR="00E8648C">
              <w:rPr>
                <w:b/>
                <w:sz w:val="32"/>
                <w:szCs w:val="32"/>
                <w:lang w:eastAsia="pl-PL"/>
              </w:rPr>
              <w:t xml:space="preserve"> </w:t>
            </w:r>
            <w:r w:rsidR="00B20813">
              <w:rPr>
                <w:b/>
                <w:sz w:val="34"/>
                <w:szCs w:val="34"/>
                <w:lang w:eastAsia="pl-PL"/>
              </w:rPr>
              <w:t>6 czerwca</w:t>
            </w:r>
            <w:r w:rsidR="00A67BC3"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E8648C" w:rsidRPr="00A67BC3" w:rsidRDefault="004B08B1" w:rsidP="000D1102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  </w:t>
            </w:r>
            <w:r w:rsidR="00B20813">
              <w:rPr>
                <w:b/>
                <w:sz w:val="34"/>
                <w:szCs w:val="34"/>
                <w:lang w:eastAsia="pl-PL"/>
              </w:rPr>
              <w:t xml:space="preserve">15 czerwca 2018 r. </w:t>
            </w:r>
          </w:p>
          <w:p w:rsidR="00B20813" w:rsidRDefault="00B20813" w:rsidP="000D1102">
            <w:pPr>
              <w:pStyle w:val="Bezodstpw"/>
              <w:rPr>
                <w:b/>
                <w:lang w:eastAsia="pl-PL"/>
              </w:rPr>
            </w:pPr>
          </w:p>
          <w:p w:rsidR="00E8648C" w:rsidRDefault="00E8648C" w:rsidP="000D1102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E8648C" w:rsidRDefault="00E8648C" w:rsidP="000D1102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 w:rsidR="009B2550">
              <w:rPr>
                <w:rFonts w:cs="Calibri"/>
                <w:b/>
                <w:bCs/>
                <w:shd w:val="clear" w:color="auto" w:fill="FFFFFF"/>
              </w:rPr>
              <w:t>Hotel Europejski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</w:t>
            </w:r>
            <w:r w:rsidR="009B2550">
              <w:rPr>
                <w:rFonts w:cs="Calibri"/>
                <w:b/>
                <w:bCs/>
                <w:shd w:val="clear" w:color="auto" w:fill="FFFFFF"/>
              </w:rPr>
              <w:t>ul. Lubicz 5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E8648C" w:rsidRDefault="00E8648C" w:rsidP="000D1102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E8648C" w:rsidRDefault="00E8648C" w:rsidP="000D1102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</w:t>
            </w:r>
            <w:r w:rsidR="00FD39C3">
              <w:rPr>
                <w:b/>
                <w:color w:val="FF0000"/>
                <w:lang w:eastAsia="pl-PL"/>
              </w:rPr>
              <w:t>80</w:t>
            </w:r>
            <w:r>
              <w:rPr>
                <w:b/>
                <w:color w:val="FF0000"/>
                <w:lang w:eastAsia="pl-PL"/>
              </w:rPr>
              <w:t xml:space="preserve"> zł brutto !!!!  PROMOCJA!!!!!</w:t>
            </w:r>
          </w:p>
          <w:p w:rsidR="00E8648C" w:rsidRDefault="00E8648C" w:rsidP="000D1102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48C" w:rsidRDefault="00E8648C" w:rsidP="000D1102">
            <w:pPr>
              <w:pStyle w:val="Bezodstpw"/>
            </w:pPr>
          </w:p>
        </w:tc>
      </w:tr>
    </w:tbl>
    <w:p w:rsidR="00E8648C" w:rsidRDefault="00E8648C" w:rsidP="00E8648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3B3FA0" w:rsidP="003B3FA0">
      <w:pPr>
        <w:pStyle w:val="NormalnyWeb"/>
        <w:spacing w:before="0"/>
        <w:jc w:val="center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E5145D" w:rsidRPr="00331AE7" w:rsidRDefault="00E5145D" w:rsidP="00E5145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31AE7">
        <w:rPr>
          <w:b/>
          <w:sz w:val="22"/>
          <w:szCs w:val="22"/>
        </w:rPr>
        <w:t>Prowadzący:</w:t>
      </w:r>
    </w:p>
    <w:p w:rsidR="00E5145D" w:rsidRPr="00E23280" w:rsidRDefault="00E5145D" w:rsidP="00E5145D">
      <w:pPr>
        <w:pStyle w:val="Normalny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E23280">
        <w:rPr>
          <w:rFonts w:ascii="Arial Narrow" w:hAnsi="Arial Narrow"/>
          <w:sz w:val="18"/>
          <w:szCs w:val="18"/>
        </w:rPr>
        <w:t>prawnik, trener i doradca</w:t>
      </w:r>
      <w:r w:rsidR="000C0C0A">
        <w:rPr>
          <w:rFonts w:ascii="Arial Narrow" w:hAnsi="Arial Narrow"/>
          <w:sz w:val="18"/>
          <w:szCs w:val="18"/>
        </w:rPr>
        <w:t xml:space="preserve">, radca prawny. </w:t>
      </w:r>
      <w:r w:rsidRPr="00E23280">
        <w:rPr>
          <w:rFonts w:ascii="Arial Narrow" w:hAnsi="Arial Narrow"/>
          <w:sz w:val="18"/>
          <w:szCs w:val="18"/>
        </w:rPr>
        <w:t>Specjalista z zakresu prawa pracy. Doświadczony wykładowca  w szczególności z zakresu praktycznego stosowania prawa pracy</w:t>
      </w:r>
      <w:r w:rsidR="00026539">
        <w:rPr>
          <w:rFonts w:ascii="Arial Narrow" w:hAnsi="Arial Narrow"/>
          <w:sz w:val="18"/>
          <w:szCs w:val="18"/>
        </w:rPr>
        <w:t xml:space="preserve"> z zakresu wynagrodzeń pracowniczych. </w:t>
      </w:r>
      <w:r w:rsidRPr="00E23280">
        <w:rPr>
          <w:rFonts w:ascii="Arial Narrow" w:hAnsi="Arial Narrow"/>
          <w:sz w:val="18"/>
          <w:szCs w:val="18"/>
        </w:rPr>
        <w:t xml:space="preserve"> </w:t>
      </w:r>
    </w:p>
    <w:p w:rsidR="00D638B5" w:rsidRP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5D099C" w:rsidRDefault="00CC4ED1" w:rsidP="00CC4ED1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4ED1" w:rsidRPr="00F65034" w:rsidRDefault="00CC4ED1" w:rsidP="00CC4ED1">
      <w:pPr>
        <w:spacing w:after="0"/>
        <w:jc w:val="both"/>
        <w:rPr>
          <w:rFonts w:ascii="Times New Roman" w:hAnsi="Times New Roman"/>
          <w:sz w:val="18"/>
          <w:szCs w:val="18"/>
          <w:vertAlign w:val="subscript"/>
        </w:rPr>
      </w:pPr>
      <w:r w:rsidRPr="00F65034">
        <w:rPr>
          <w:rFonts w:ascii="Times New Roman" w:hAnsi="Times New Roman"/>
          <w:sz w:val="18"/>
          <w:szCs w:val="18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F65034" w:rsidRDefault="00F65034" w:rsidP="00CC4ED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763A98" w:rsidRDefault="00763A98" w:rsidP="00763A9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763A98" w:rsidRPr="00F837FB" w:rsidRDefault="00763A98" w:rsidP="00763A98">
      <w:pPr>
        <w:jc w:val="center"/>
        <w:rPr>
          <w:b/>
          <w:color w:val="0070C0"/>
          <w:sz w:val="28"/>
          <w:szCs w:val="28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line="240" w:lineRule="auto"/>
        <w:rPr>
          <w:rFonts w:cs="Arial"/>
          <w:b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Podstawowe pojęcia dotyczące wynagrodzenia za pracę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Definicja wynagrodzenia za pracę i jego charakter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Wynagrodzenie wynikające ze stawki osobistego zaszeregowania, wynagrodzenie podstawowe oraz normalne wynagrodzenie za pracę – czym to się różni?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Obligatoryjne i fakultatywne składniki wynagrodzenia za pracę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R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óżnica pomiędzy premią regulaminową a premią uznaniową i nagrodą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 xml:space="preserve">wypłata wynagrodzenia w gotówce czy na rachunek bankowy – w świetle proponowanych zmian do </w:t>
      </w:r>
      <w:proofErr w:type="spellStart"/>
      <w:r w:rsidRPr="004E4346">
        <w:rPr>
          <w:rFonts w:asciiTheme="minorHAnsi" w:hAnsiTheme="minorHAnsi" w:cs="Arial"/>
          <w:b w:val="0"/>
          <w:sz w:val="20"/>
          <w:szCs w:val="20"/>
        </w:rPr>
        <w:t>Kp</w:t>
      </w:r>
      <w:proofErr w:type="spellEnd"/>
      <w:r w:rsidRPr="004E4346">
        <w:rPr>
          <w:rFonts w:asciiTheme="minorHAnsi" w:hAnsiTheme="minorHAnsi" w:cs="Arial"/>
          <w:b w:val="0"/>
          <w:sz w:val="20"/>
          <w:szCs w:val="20"/>
        </w:rPr>
        <w:t>.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 xml:space="preserve"> cofnięcie zgody na wypłacanie wynagrodzenia za pracę w inny sposób niż w formie pieniężnej; </w:t>
      </w:r>
    </w:p>
    <w:p w:rsidR="00763A98" w:rsidRPr="004E4346" w:rsidRDefault="00763A98" w:rsidP="00763A98">
      <w:pPr>
        <w:pStyle w:val="Tekstpodstawowy"/>
        <w:widowControl w:val="0"/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Kiedy i na jakich warunkach możemy wypłacić wynagrodzenie innej osobie?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Zasady regulacji wynagrodzeń w aktach prawa wewnątrzzakładowego</w:t>
      </w:r>
    </w:p>
    <w:p w:rsidR="00763A98" w:rsidRPr="004E4346" w:rsidRDefault="00763A98" w:rsidP="00763A98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Gdzie należy szczegółowo określić warunki wynagradzania – czyli kiedy stosujemy układ zbiorowy pracy, kiedy regulamin wynagradzania a kiedy umowę o pracę;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dotyczące opracowywania, ustalania i wprowadzania w życie przepisów wewnątrzzakładowych, ze szczególnym uwzględnieniem obowiązku konsultacji aktów wewnątrzzakładowych z organizacjami związkowymi;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Zasady wprowadzania zmian do regulaminu wynagradzania i układu zbiorowego pracy – czy wszystkie zmiany ustalamy z organizacjami związkowymi?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Skutki prawne nieustalenia pomimo istnienia obowiązku regulaminu wynagradzania;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Obowiązkowe regulacje dotyczące wynagrodzeń, które muszą się znaleźć w regulaminie pracy: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termin, częstotliwość, miejsce i czas wypłaty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termin wypłaty jest jeden dla wszystkich składników wynagrodzenia?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Zasada równego traktowania w zatrudnieniu a wynagrodzenie pracownika, czyli jak ukształtować wynagrodzenie za pracę pracowników by nie dopuścić się dyskryminacji w zatrudnieniu 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Minimalne wynagrodzenie za pracę a minimalna stawka godzinowa – pojęcia tożsame czy różne? Jak prawidłowo ustalać wysokość minimalnego wynagrodzenia za pracę i minimalnej stawki godzinowej by nie narazić się na odpowiedzialność wykroczeniową? 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a czas pracy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Jakie zapisy należy zamieścić w regulaminie pracy aby elastycznie zarządzać zarówno czasem pracy jak i płacami 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systemy i rozkłady czasu pracy oraz okres rozliczeniowy czasu pracy – ich wpływ na kształtowanie zasad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w zakładzie pracy musi być tylko jeden dla wszystkich system czasu pracy, rozkład czasu pracy i okres rozliczeniowy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są korzyści z wprowadzenia 12 miesięcznego okresu rozliczeniowego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Co to jest nierównomierny rozkład czasu pracy i jakie to ma przełożenie na wynagrodzenie za pracę?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Konsekwencje finansowe nieprawidłowego ustalenia pory nocnej w regulaminie;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postanowienia zawrzeć w regulaminie by efektownie zarządzać pracą w godzinach nadliczbowych i uniknąć konsekwencji tzw. „pustych nadliczbówek”?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Zasady wprowadzenia ryczałtu za pracę w godzinach nadliczbowych i porze nocnej – jak prawidłowo skalkulować ryczałt?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wyliczyć wynagrodzenie za pracę w godzinach nadliczbowych: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obliczania normalnego wynagrodzenia za pracę w godzinach nadliczbowych;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Kiedy wypłacamy 50% a kiedy 100% dodatek za pracę w godzinach nadliczbowych – zasady ich naliczania;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naliczamy dodatki za przekroczenia dobowej i 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tzw. „szóstym dniu tygodnia”?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niedzielę i święto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w przypadku rekompensowania pracownikowi pracy w godzinach nadliczbowych czasem wolnym </w:t>
      </w:r>
      <w:r w:rsidRPr="004E4346">
        <w:rPr>
          <w:rFonts w:asciiTheme="minorHAnsi" w:hAnsiTheme="minorHAnsi" w:cs="Arial"/>
          <w:b w:val="0"/>
          <w:bCs/>
          <w:sz w:val="20"/>
          <w:szCs w:val="20"/>
        </w:rPr>
        <w:lastRenderedPageBreak/>
        <w:t>w wymiarze 1:1,5 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Ustanie lub nawiązanie stosunku pracy w trakcie miesiąca a godziny nadliczbowe;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prawidłowo rozliczyć i kiedy wypłacić pracownikowi normalne wynagrodzenie za pracę w godzinach nadliczbowych a kiedy dodatki za przekroczenia dobowej i średniotygodniowej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 jaki sposób wyliczyć wynagrodzenie za pracę w godzinach nadliczbowych, gdy w takcie miesiąca następuje zmiana w wysokości wynagrodzenia pracownika?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Wykroczenia przeciwko prawom pracownika z zakresu dotyczącego wynagrodzenia za pracę – kto jest uprawniony do ścigania wykroczeń przeciwko prawom pracownika.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line="240" w:lineRule="auto"/>
        <w:ind w:left="360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Naliczanie pracownikowi wynagrodzenie, gdy nie przepracował on pełnego miesiąca w sytuacji, gdy np.: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bCs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>był nieobecny w pracy z powodu choroby,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 xml:space="preserve">był nieobecny w pracy z powodu innych przyczyn niż choroba (np. urlop </w:t>
      </w:r>
      <w:r w:rsidRPr="004E4346">
        <w:rPr>
          <w:rFonts w:cs="Arial"/>
          <w:sz w:val="20"/>
          <w:szCs w:val="20"/>
        </w:rPr>
        <w:t xml:space="preserve">bezpłatny, nieusprawiedliwiona nieobecność w pracy, spóźnienia),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doszło do nawiązania lub rozwiązania stosunku pracy w trakcie miesiąca kalendarzowego lub trwającego okresu rozliczeniowego czasu pracy;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jak nie naruszyć przepisów i prawidłowo obliczyć wynagrodzenie za część miesiąca, gdy ten ma 28 lub 31 dni? Stanowisko Ministerstwa.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  <w:lang w:eastAsia="ar-SA"/>
        </w:rPr>
        <w:t>Jak prawidłowo naliczyć pracownikowi wynagrodzenie za pracę, gdy doszło do zmiany wysokości wynagrodzenia za pracę lub wymiaru etatu w trakcie miesiąca kalendarzowego;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urlopowe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wymiaru i wysokości wynagrodzenia urlopowego – </w:t>
      </w:r>
      <w:r w:rsidRPr="004E4346">
        <w:rPr>
          <w:rFonts w:asciiTheme="minorHAnsi" w:hAnsiTheme="minorHAnsi" w:cs="Arial"/>
          <w:b w:val="0"/>
          <w:sz w:val="20"/>
          <w:szCs w:val="20"/>
        </w:rPr>
        <w:t>kiedy do podstawy trzeba wliczać premię uznaniową?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wahania a znaczne wahania w składnikach wynagrodzenia – jak prawidłowo wyliczyć podstawę wymiaru wynagrodzenia za urlop?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zmiana w zmiennych składnikach wynagrodzenia urlopowego a konieczność dokonania przeliczenia;  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Ekwiwalent pieniężny za niewykorzystany urlop wypoczynkowy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ustalanie podstawy i wysokości ekwiwalentu za urlop;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clear" w:pos="112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obliczyć współczynnik ekwiwalentu za urlop - </w:t>
      </w:r>
      <w:r w:rsidRPr="004E4346">
        <w:rPr>
          <w:rFonts w:asciiTheme="minorHAnsi" w:hAnsiTheme="minorHAnsi" w:cs="Arial"/>
          <w:b w:val="0"/>
          <w:sz w:val="20"/>
          <w:szCs w:val="20"/>
        </w:rPr>
        <w:t xml:space="preserve">jaki wpływ na wysokość współczynnika ma wymiar czasu pracy pracownika?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zmienne składniki wynagrodzenia a ekwiwalent za urlop wypoczynkowy – jak je obliczać, gdy pracownik nie przepracował pełnego miesiąca (uzupełnianie)?   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termin wypłaty ekwiwalentu za niewykorzystany w naturze urlop wypoczynkowy?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wynagrodzenia za czas zwolnienia pracownika od pracy, gdy przepisy gwarantują mu prawo do wynagrodzenia.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za czas zwolnienia na podstawie art. 188 </w:t>
      </w:r>
      <w:proofErr w:type="spellStart"/>
      <w:r w:rsidRPr="004E4346">
        <w:rPr>
          <w:rFonts w:asciiTheme="minorHAnsi" w:hAnsiTheme="minorHAnsi" w:cs="Arial"/>
          <w:b w:val="0"/>
          <w:bCs/>
          <w:sz w:val="20"/>
          <w:szCs w:val="20"/>
        </w:rPr>
        <w:t>k.p</w:t>
      </w:r>
      <w:proofErr w:type="spellEnd"/>
      <w:r w:rsidRPr="004E4346">
        <w:rPr>
          <w:rFonts w:asciiTheme="minorHAnsi" w:hAnsiTheme="minorHAnsi" w:cs="Arial"/>
          <w:b w:val="0"/>
          <w:bCs/>
          <w:sz w:val="20"/>
          <w:szCs w:val="20"/>
        </w:rPr>
        <w:t>.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za czas zwolnienia na poszukiwanie pracy w okresie wypowiedzenia umowy o pracę; 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num" w:pos="106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Naliczanie wynagrodzenia za czas tzw. „urlopów okolicznościowych”;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odpraw i odszkodowań wynikających ze stosunku pracy: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odpraw </w:t>
      </w:r>
      <w:proofErr w:type="spellStart"/>
      <w:r w:rsidRPr="004E4346">
        <w:rPr>
          <w:rFonts w:asciiTheme="minorHAnsi" w:hAnsiTheme="minorHAnsi" w:cs="Arial"/>
          <w:b w:val="0"/>
          <w:bCs/>
          <w:sz w:val="20"/>
          <w:szCs w:val="20"/>
        </w:rPr>
        <w:t>emerytalno</w:t>
      </w:r>
      <w:proofErr w:type="spellEnd"/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 – rentowych;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i zasady wypłacania odpraw pośmiertnych;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wysokość odszkodowania za skrócony okres wypowiedzenia; </w:t>
      </w:r>
    </w:p>
    <w:p w:rsidR="00763A98" w:rsidRPr="004E4346" w:rsidRDefault="00763A98" w:rsidP="00763A98">
      <w:pPr>
        <w:pStyle w:val="Tekstpodstawowy22"/>
        <w:tabs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eastAsia="Calibri" w:cs="Arial"/>
          <w:b/>
          <w:bCs/>
          <w:sz w:val="20"/>
          <w:szCs w:val="20"/>
        </w:rPr>
      </w:pPr>
      <w:r w:rsidRPr="004E4346">
        <w:rPr>
          <w:rFonts w:eastAsia="Calibri" w:cs="Arial"/>
          <w:b/>
          <w:bCs/>
          <w:sz w:val="20"/>
          <w:szCs w:val="20"/>
        </w:rPr>
        <w:t xml:space="preserve">Ochrona wynagrodzenia za pracę: </w:t>
      </w:r>
    </w:p>
    <w:p w:rsidR="00763A98" w:rsidRPr="004E4346" w:rsidRDefault="00763A98" w:rsidP="00763A98">
      <w:pPr>
        <w:pStyle w:val="Tekstpodstawowy22"/>
        <w:numPr>
          <w:ilvl w:val="0"/>
          <w:numId w:val="16"/>
        </w:numPr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Czy pracownik może zrzec się prawa do wynagrodzenia i wyrazić zgodę na inny sposób dokonywania potrąceń niż ten wynikający z Kodeksu pracy? </w:t>
      </w:r>
    </w:p>
    <w:p w:rsidR="00763A98" w:rsidRPr="004E4346" w:rsidRDefault="00763A98" w:rsidP="00763A98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Podstawowe zasady dokonywania potrąceń, których nie można naruszać;</w:t>
      </w:r>
    </w:p>
    <w:p w:rsidR="00763A98" w:rsidRPr="004E4346" w:rsidRDefault="00763A98" w:rsidP="00763A98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Potrącenia realizowane bez wymogu uzyskania zgody pracownika: 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B2" w:rsidRDefault="008348B2" w:rsidP="00CD3ED8">
      <w:pPr>
        <w:spacing w:after="0" w:line="240" w:lineRule="auto"/>
      </w:pPr>
      <w:r>
        <w:separator/>
      </w:r>
    </w:p>
  </w:endnote>
  <w:endnote w:type="continuationSeparator" w:id="0">
    <w:p w:rsidR="008348B2" w:rsidRDefault="008348B2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B2" w:rsidRDefault="008348B2" w:rsidP="00CD3ED8">
      <w:pPr>
        <w:spacing w:after="0" w:line="240" w:lineRule="auto"/>
      </w:pPr>
      <w:r>
        <w:separator/>
      </w:r>
    </w:p>
  </w:footnote>
  <w:footnote w:type="continuationSeparator" w:id="0">
    <w:p w:rsidR="008348B2" w:rsidRDefault="008348B2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8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26539"/>
    <w:rsid w:val="000336FC"/>
    <w:rsid w:val="00092DEA"/>
    <w:rsid w:val="0009332D"/>
    <w:rsid w:val="000C0C0A"/>
    <w:rsid w:val="000E53A6"/>
    <w:rsid w:val="00132B75"/>
    <w:rsid w:val="00154582"/>
    <w:rsid w:val="001660F1"/>
    <w:rsid w:val="00183F72"/>
    <w:rsid w:val="001A7942"/>
    <w:rsid w:val="001B198E"/>
    <w:rsid w:val="001D0F91"/>
    <w:rsid w:val="00204D7B"/>
    <w:rsid w:val="00255A4F"/>
    <w:rsid w:val="00267EB9"/>
    <w:rsid w:val="002C74C1"/>
    <w:rsid w:val="002E6332"/>
    <w:rsid w:val="002F76C3"/>
    <w:rsid w:val="00320775"/>
    <w:rsid w:val="003329F2"/>
    <w:rsid w:val="003A4366"/>
    <w:rsid w:val="003B1CA3"/>
    <w:rsid w:val="003B3FA0"/>
    <w:rsid w:val="003D2A8B"/>
    <w:rsid w:val="00401F1C"/>
    <w:rsid w:val="00402AC7"/>
    <w:rsid w:val="0041589C"/>
    <w:rsid w:val="00454491"/>
    <w:rsid w:val="00462204"/>
    <w:rsid w:val="004B08B1"/>
    <w:rsid w:val="004C3DAA"/>
    <w:rsid w:val="004E0301"/>
    <w:rsid w:val="00522C87"/>
    <w:rsid w:val="00530077"/>
    <w:rsid w:val="00532E86"/>
    <w:rsid w:val="005F0183"/>
    <w:rsid w:val="00633ABD"/>
    <w:rsid w:val="00656FF8"/>
    <w:rsid w:val="00661ABD"/>
    <w:rsid w:val="00717913"/>
    <w:rsid w:val="007209B8"/>
    <w:rsid w:val="00735640"/>
    <w:rsid w:val="007521B3"/>
    <w:rsid w:val="00763A98"/>
    <w:rsid w:val="00772E13"/>
    <w:rsid w:val="00795301"/>
    <w:rsid w:val="007A163C"/>
    <w:rsid w:val="007D675C"/>
    <w:rsid w:val="007D68C1"/>
    <w:rsid w:val="007F122C"/>
    <w:rsid w:val="008348B2"/>
    <w:rsid w:val="00862EB0"/>
    <w:rsid w:val="00893904"/>
    <w:rsid w:val="00897203"/>
    <w:rsid w:val="008A666E"/>
    <w:rsid w:val="008B54B9"/>
    <w:rsid w:val="008C5134"/>
    <w:rsid w:val="0095094B"/>
    <w:rsid w:val="00957959"/>
    <w:rsid w:val="00967057"/>
    <w:rsid w:val="009B2550"/>
    <w:rsid w:val="009C0297"/>
    <w:rsid w:val="00A100C4"/>
    <w:rsid w:val="00A12B77"/>
    <w:rsid w:val="00A2762D"/>
    <w:rsid w:val="00A40202"/>
    <w:rsid w:val="00A67BC3"/>
    <w:rsid w:val="00AB71C3"/>
    <w:rsid w:val="00AE59E7"/>
    <w:rsid w:val="00B1178D"/>
    <w:rsid w:val="00B166F4"/>
    <w:rsid w:val="00B20813"/>
    <w:rsid w:val="00B2225F"/>
    <w:rsid w:val="00B93A7C"/>
    <w:rsid w:val="00BB384A"/>
    <w:rsid w:val="00BB6227"/>
    <w:rsid w:val="00C03BD4"/>
    <w:rsid w:val="00C529F0"/>
    <w:rsid w:val="00C622FE"/>
    <w:rsid w:val="00C96A20"/>
    <w:rsid w:val="00CC4ED1"/>
    <w:rsid w:val="00CD3ED8"/>
    <w:rsid w:val="00D1616E"/>
    <w:rsid w:val="00D226B3"/>
    <w:rsid w:val="00D34E78"/>
    <w:rsid w:val="00D6231B"/>
    <w:rsid w:val="00D638B5"/>
    <w:rsid w:val="00D961BA"/>
    <w:rsid w:val="00DA2DAE"/>
    <w:rsid w:val="00DB4F6F"/>
    <w:rsid w:val="00E25698"/>
    <w:rsid w:val="00E5145D"/>
    <w:rsid w:val="00E71F07"/>
    <w:rsid w:val="00E764C2"/>
    <w:rsid w:val="00E8648C"/>
    <w:rsid w:val="00F145D0"/>
    <w:rsid w:val="00F235AD"/>
    <w:rsid w:val="00F24F7E"/>
    <w:rsid w:val="00F65034"/>
    <w:rsid w:val="00F837FB"/>
    <w:rsid w:val="00FA6CA7"/>
    <w:rsid w:val="00FB6852"/>
    <w:rsid w:val="00FD39C3"/>
    <w:rsid w:val="00FE0990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C5F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35</cp:revision>
  <cp:lastPrinted>2018-01-18T10:14:00Z</cp:lastPrinted>
  <dcterms:created xsi:type="dcterms:W3CDTF">2017-08-09T13:15:00Z</dcterms:created>
  <dcterms:modified xsi:type="dcterms:W3CDTF">2018-05-08T03:51:00Z</dcterms:modified>
</cp:coreProperties>
</file>